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D145" w14:textId="71C5424A" w:rsidR="00271027" w:rsidRPr="0037042E" w:rsidRDefault="000577AB" w:rsidP="00654B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26DCF" w:rsidRPr="0037042E">
        <w:rPr>
          <w:rFonts w:ascii="Times New Roman" w:hAnsi="Times New Roman" w:cs="Times New Roman"/>
          <w:b/>
          <w:bCs/>
          <w:sz w:val="28"/>
          <w:szCs w:val="28"/>
        </w:rPr>
        <w:t xml:space="preserve">тветы на часто задаваемые вопросы держателей регистрационных удостоверений по вопросам правоприменения приказа Росздравнадзора от </w:t>
      </w:r>
      <w:r w:rsidR="0099300E">
        <w:rPr>
          <w:rFonts w:ascii="Times New Roman" w:hAnsi="Times New Roman" w:cs="Times New Roman"/>
          <w:b/>
          <w:bCs/>
          <w:sz w:val="28"/>
          <w:szCs w:val="28"/>
        </w:rPr>
        <w:t>17.06.2024</w:t>
      </w:r>
      <w:r w:rsidR="00426DCF" w:rsidRPr="0037042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9300E" w:rsidRPr="0062064C">
        <w:rPr>
          <w:rFonts w:ascii="Times New Roman" w:hAnsi="Times New Roman" w:cs="Times New Roman"/>
          <w:b/>
          <w:bCs/>
          <w:sz w:val="28"/>
          <w:szCs w:val="28"/>
        </w:rPr>
        <w:t>3518</w:t>
      </w:r>
      <w:r w:rsidR="00426DCF" w:rsidRPr="0037042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фармаконадзора</w:t>
      </w:r>
      <w:r w:rsidR="0099300E" w:rsidRPr="006206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00E">
        <w:rPr>
          <w:rFonts w:ascii="Times New Roman" w:hAnsi="Times New Roman" w:cs="Times New Roman"/>
          <w:b/>
          <w:bCs/>
          <w:sz w:val="28"/>
          <w:szCs w:val="28"/>
        </w:rPr>
        <w:t>лекарственных препаратов для медицинского применения</w:t>
      </w:r>
      <w:r w:rsidR="00426DCF" w:rsidRPr="0037042E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5B7B91" w:rsidRPr="005B7B91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5B7B91" w:rsidRPr="005B7B9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B7B91" w:rsidRPr="005B7B91">
        <w:rPr>
          <w:rFonts w:ascii="Times New Roman" w:hAnsi="Times New Roman" w:cs="Times New Roman"/>
          <w:b/>
          <w:bCs/>
          <w:sz w:val="28"/>
          <w:szCs w:val="28"/>
        </w:rPr>
        <w:t xml:space="preserve"> Совета Евразийской экономической комиссии от 03.11.2016 № 87</w:t>
      </w:r>
      <w:r w:rsidR="005B7B91" w:rsidRPr="005B7B9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="00426DCF" w:rsidRPr="0037042E">
        <w:rPr>
          <w:rFonts w:ascii="Times New Roman" w:hAnsi="Times New Roman" w:cs="Times New Roman"/>
          <w:b/>
          <w:bCs/>
          <w:sz w:val="28"/>
          <w:szCs w:val="28"/>
        </w:rPr>
        <w:t>Правил надлежащей практики фармаконадзора Евразийского экономического союза</w:t>
      </w:r>
      <w:r w:rsidR="005B7B91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6975"/>
        <w:gridCol w:w="7938"/>
      </w:tblGrid>
      <w:tr w:rsidR="00FD5146" w:rsidRPr="0037042E" w14:paraId="1989F7EF" w14:textId="77777777" w:rsidTr="001E15CA">
        <w:tc>
          <w:tcPr>
            <w:tcW w:w="1106" w:type="dxa"/>
          </w:tcPr>
          <w:p w14:paraId="3C1402DB" w14:textId="77777777" w:rsidR="00FD5146" w:rsidRPr="0037042E" w:rsidRDefault="00FD5146" w:rsidP="003704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75" w:type="dxa"/>
          </w:tcPr>
          <w:p w14:paraId="66BE6DA3" w14:textId="77777777" w:rsidR="00FD5146" w:rsidRPr="0037042E" w:rsidRDefault="00FD5146" w:rsidP="003704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2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7938" w:type="dxa"/>
          </w:tcPr>
          <w:p w14:paraId="3280FD80" w14:textId="77777777" w:rsidR="00FD5146" w:rsidRPr="0037042E" w:rsidRDefault="00FD5146" w:rsidP="003704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2E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0F334F" w:rsidRPr="001E15CA" w14:paraId="656DAB8F" w14:textId="77777777" w:rsidTr="001E15CA">
        <w:tc>
          <w:tcPr>
            <w:tcW w:w="16019" w:type="dxa"/>
            <w:gridSpan w:val="3"/>
          </w:tcPr>
          <w:p w14:paraId="5CF95CE5" w14:textId="77777777" w:rsidR="000F334F" w:rsidRPr="001E15CA" w:rsidRDefault="000F334F" w:rsidP="003704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Индивидуальные сообщения о </w:t>
            </w:r>
            <w:r w:rsidR="00F527C1"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>нежелательных</w:t>
            </w:r>
            <w:r w:rsidR="005C7E4F"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реакциях (</w:t>
            </w:r>
            <w:r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>НР</w:t>
            </w:r>
            <w:r w:rsidR="005C7E4F"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D5146" w:rsidRPr="001E15CA" w14:paraId="20501E12" w14:textId="77777777" w:rsidTr="001E15CA">
        <w:tc>
          <w:tcPr>
            <w:tcW w:w="1106" w:type="dxa"/>
          </w:tcPr>
          <w:p w14:paraId="3B5B7C25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75" w:type="dxa"/>
          </w:tcPr>
          <w:p w14:paraId="3FB66032" w14:textId="0B98F6BB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Каким образом следует предоставлять срочные индивидуальные сообщения</w:t>
            </w:r>
            <w:r w:rsidR="008E7BCB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97EDB" w:rsidRPr="001E15CA">
              <w:rPr>
                <w:rFonts w:ascii="Times New Roman" w:hAnsi="Times New Roman" w:cs="Times New Roman"/>
                <w:sz w:val="28"/>
                <w:szCs w:val="28"/>
              </w:rPr>
              <w:t>нежелательных реакциях (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  <w:r w:rsidR="00297EDB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уполномоченные органы </w:t>
            </w:r>
            <w:r w:rsidR="002D13A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938" w:type="dxa"/>
          </w:tcPr>
          <w:p w14:paraId="52954650" w14:textId="5A30B7A4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сообщения о НР предоставляются в уполномоченные органы 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C97682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97682" w:rsidRPr="001E15CA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7682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>Правилам надлежащей практики фармаконадзора (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НПФ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>) ЕАЭС</w:t>
            </w:r>
            <w:r w:rsidR="002F7CBD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>Правилами надлежащей клинической практики (</w:t>
            </w:r>
            <w:r w:rsidR="002F7CBD" w:rsidRPr="001E15CA">
              <w:rPr>
                <w:rFonts w:ascii="Times New Roman" w:hAnsi="Times New Roman" w:cs="Times New Roman"/>
                <w:sz w:val="28"/>
                <w:szCs w:val="28"/>
              </w:rPr>
              <w:t>НКП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ЕАЭС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типа сообщений и сроков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B75755" w14:textId="26F6E21B" w:rsidR="00FD5146" w:rsidRPr="001E15CA" w:rsidRDefault="006F47F0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>ндивидуальные с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ообщения 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о нежелательных реакциях </w:t>
            </w:r>
            <w:r w:rsidR="00EA61E1" w:rsidRPr="001E15CA">
              <w:rPr>
                <w:rFonts w:ascii="Times New Roman" w:hAnsi="Times New Roman" w:cs="Times New Roman"/>
                <w:sz w:val="28"/>
                <w:szCs w:val="28"/>
              </w:rPr>
              <w:t>(зарегистрированны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A61E1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EA61E1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или других стран) 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>необходимо предоставлять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73964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автоматизированную информационную систему </w:t>
            </w:r>
            <w:r w:rsidR="009A5C0E" w:rsidRPr="001E15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>АИС</w:t>
            </w:r>
            <w:r w:rsidR="009A5C0E" w:rsidRPr="001E15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685A65" w:rsidRPr="001E15CA">
              <w:rPr>
                <w:rFonts w:ascii="Times New Roman" w:hAnsi="Times New Roman" w:cs="Times New Roman"/>
                <w:sz w:val="28"/>
                <w:szCs w:val="28"/>
              </w:rPr>
              <w:t>осздравнадзора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>3) через шлюз, либо путем подгрузки X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="00FD5146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файлов, либо путем ввода данных в ручном режиме.</w:t>
            </w:r>
          </w:p>
          <w:p w14:paraId="6B9E43C6" w14:textId="3C2F9199" w:rsidR="00111182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9A5C0E" w:rsidRPr="001E15CA">
              <w:rPr>
                <w:rFonts w:ascii="Times New Roman" w:hAnsi="Times New Roman" w:cs="Times New Roman"/>
                <w:sz w:val="28"/>
                <w:szCs w:val="28"/>
              </w:rPr>
              <w:t>возникновения технических проблем в работе АИС</w:t>
            </w:r>
            <w:r w:rsidR="00673964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685A65" w:rsidRPr="001E15CA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1A52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5A65" w:rsidRPr="001E15CA">
              <w:rPr>
                <w:rFonts w:ascii="Times New Roman" w:hAnsi="Times New Roman" w:cs="Times New Roman"/>
                <w:sz w:val="28"/>
                <w:szCs w:val="28"/>
              </w:rPr>
              <w:t>дравнадзора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964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направляются по адресу электронной почты: </w:t>
            </w:r>
            <w:hyperlink r:id="rId8" w:history="1"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pharm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roszdravnadzor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B2959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72C7" w:rsidRPr="001E15CA">
              <w:rPr>
                <w:rFonts w:ascii="Times New Roman" w:hAnsi="Times New Roman" w:cs="Times New Roman"/>
                <w:sz w:val="28"/>
                <w:szCs w:val="28"/>
              </w:rPr>
              <w:t>При возникновении технических проблем в работе баз данны</w:t>
            </w:r>
            <w:r w:rsidR="00D46029" w:rsidRPr="001E15C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372C7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ДРУ или</w:t>
            </w:r>
            <w:r w:rsidR="0065548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юри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5485" w:rsidRPr="001E15CA">
              <w:rPr>
                <w:rFonts w:ascii="Times New Roman" w:hAnsi="Times New Roman" w:cs="Times New Roman"/>
                <w:sz w:val="28"/>
                <w:szCs w:val="28"/>
              </w:rPr>
              <w:t>ических лиц, на имя которых выданы разрешения на проведение клинических исследо</w:t>
            </w:r>
            <w:r w:rsidR="00170D11" w:rsidRPr="001E15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5485" w:rsidRPr="001E15CA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170D11" w:rsidRPr="001E15C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5548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, сообщения </w:t>
            </w:r>
            <w:r w:rsidR="005C7E4F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также  </w:t>
            </w:r>
            <w:r w:rsidR="00655485" w:rsidRPr="001E15CA">
              <w:rPr>
                <w:rFonts w:ascii="Times New Roman" w:hAnsi="Times New Roman" w:cs="Times New Roman"/>
                <w:sz w:val="28"/>
                <w:szCs w:val="28"/>
              </w:rPr>
              <w:t>направляются по адресу электронной почты</w:t>
            </w:r>
            <w:r w:rsidR="004209B7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9" w:history="1"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pharm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roszdravnadzor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474DA" w:rsidRPr="001474D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4209B7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информации о предположительных сроках возобновления функционирования указанных баз данных.</w:t>
            </w:r>
          </w:p>
          <w:p w14:paraId="319AF259" w14:textId="7D71257A" w:rsidR="00FD5146" w:rsidRPr="001E15CA" w:rsidRDefault="00B06EA9" w:rsidP="001A52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с</w:t>
            </w:r>
            <w:r w:rsidR="00111182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ообщения, направленные по адресу электронной почты: </w:t>
            </w:r>
            <w:hyperlink r:id="rId10" w:history="1">
              <w:r w:rsidR="00E420A1" w:rsidRPr="00E420A1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pharm</w:t>
              </w:r>
              <w:r w:rsidR="00E420A1" w:rsidRPr="00E420A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420A1" w:rsidRPr="00E420A1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roszdravnadzor</w:t>
              </w:r>
              <w:r w:rsidR="00E420A1" w:rsidRPr="00E420A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20A1" w:rsidRPr="00E420A1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E420A1" w:rsidRPr="00E420A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20A1" w:rsidRPr="00E420A1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F1D22">
              <w:t xml:space="preserve">,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должны быть внесены </w:t>
            </w:r>
            <w:r w:rsidR="00873C2F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ДРУ в АИС </w:t>
            </w:r>
            <w:r w:rsidR="001A522D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r w:rsidR="001A522D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C2F" w:rsidRPr="001E15CA">
              <w:rPr>
                <w:rFonts w:ascii="Times New Roman" w:hAnsi="Times New Roman" w:cs="Times New Roman"/>
                <w:sz w:val="28"/>
                <w:szCs w:val="28"/>
              </w:rPr>
              <w:t>сразу после восстановления работоспособности</w:t>
            </w:r>
            <w:r w:rsidR="008D60AD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баз данных</w:t>
            </w:r>
            <w:r w:rsidR="00B2514B"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7C4C" w:rsidRPr="001E15CA" w14:paraId="19C50705" w14:textId="77777777" w:rsidTr="001E15CA">
        <w:tc>
          <w:tcPr>
            <w:tcW w:w="1106" w:type="dxa"/>
          </w:tcPr>
          <w:p w14:paraId="3C9E54EF" w14:textId="77777777" w:rsidR="00797C4C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6975" w:type="dxa"/>
          </w:tcPr>
          <w:p w14:paraId="212D17BD" w14:textId="77777777" w:rsidR="00797C4C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Каковы требования по репортированию в Росздравнадзор индивидуальных сообщений об отсутствии терапевтической эффективности лекарственных препаратов</w:t>
            </w:r>
            <w:r w:rsidRPr="001A522D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59F46901" w14:textId="77777777" w:rsidR="00797C4C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06D1FD0" w14:textId="452A13DA" w:rsidR="00797C4C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пункту 441 Правил НПФ следует регистрировать сообщения об отсутствии терапевтической эффективности и выполнять последующую работу по получению полной информации. Данные сообщения, как правило, не подлежат срочному репортированию и включаются в оценку данных в ПООБ. </w:t>
            </w:r>
          </w:p>
          <w:p w14:paraId="456A16E0" w14:textId="7A487CBD" w:rsidR="00797C4C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В определенных случаях может потребоваться представление сообщений об отсутствии терапевтической эффективности в течение 15 календарных дней. К таким случаям относятся отсутствие терапевтической эффективности при применении подозреваемого лекарственного препарата для лечения заболеваний, представляющих угрозу жизни (включая угрожающие жизни инфекционные заболевания, вызванные чувствительными</w:t>
            </w:r>
            <w:r w:rsidR="006F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микроорганизмами либо сопровождающиеся появлением нового устойчивого штамма микроорганизма, ранее считавшегося восприимчивым), а также если подозреваемыми лекарственными препаратами являются вакцины и контрацептивы. Такие случаи, зарегистрированные в </w:t>
            </w:r>
            <w:r w:rsidR="00C97682" w:rsidRPr="00C976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или на территории других государств, передаются в виде срочных сообщений, даже если заявителем не указано наличие критериев серьезности, и должны расцениваться как серьезные со </w:t>
            </w:r>
            <w:r w:rsidR="001F1D22" w:rsidRPr="001E15C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F1D22">
              <w:rPr>
                <w:rFonts w:ascii="Times New Roman" w:hAnsi="Times New Roman" w:cs="Times New Roman"/>
                <w:sz w:val="28"/>
                <w:szCs w:val="28"/>
              </w:rPr>
              <w:t>ороны</w:t>
            </w:r>
            <w:r w:rsidR="001F1D22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ДРУ.</w:t>
            </w:r>
          </w:p>
          <w:p w14:paraId="11FC5E94" w14:textId="77777777" w:rsidR="00797C4C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патологии, представляющей угрозу жизни человека, нет утвержденного списка таких заболеваний и состояний. Это заболевания/состояния, которые представляют непосредственную, а не гипотетическую угрозу жизни, и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 медицинское суждение для их оценки с учетом индивидуальных</w:t>
            </w:r>
            <w:r w:rsidR="006F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пациента и особенностей течения заболевания. Недостаточная эффективность лекарственных препаратов в первую очередь рассматривается для лекарственных препаратов с четкими фармакологическими эффектами, которые можно определить соответствующими методами мониторинга, а также, например, для антибактериальных препаратов, вакцин и контрацептивов. </w:t>
            </w:r>
          </w:p>
        </w:tc>
      </w:tr>
      <w:tr w:rsidR="00FD5146" w:rsidRPr="001E15CA" w14:paraId="32F6A436" w14:textId="77777777" w:rsidTr="001E15CA">
        <w:tc>
          <w:tcPr>
            <w:tcW w:w="1106" w:type="dxa"/>
          </w:tcPr>
          <w:p w14:paraId="36AB0796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75" w:type="dxa"/>
          </w:tcPr>
          <w:p w14:paraId="5A4EC4E1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ли оценка предвиденности нежелательных реакций для предоставления индивидуальных сообщений на основании основных данных о лекарственном средстве держателя регистрационного удостоверения (Company Core Data Sheet)? </w:t>
            </w:r>
          </w:p>
        </w:tc>
        <w:tc>
          <w:tcPr>
            <w:tcW w:w="7938" w:type="dxa"/>
          </w:tcPr>
          <w:p w14:paraId="1AE3DF35" w14:textId="5B176A5F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Для оценки предвиденности нежелательных реакций следует использовать </w:t>
            </w:r>
            <w:r w:rsidR="001474DA" w:rsidRPr="001E15CA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1474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474DA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по медицинскому применению лекарственного препарата (ОХЛП/листка-вкладыша) в 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. Допускается использовать Перечень основных данных по лекарственному препарату держателя регистрационного удостоверения (Company Core Data Sheet), но при условии своевременного обновления информации по медицинскому применению лекарственного препарата </w:t>
            </w:r>
            <w:r w:rsidR="002639FD" w:rsidRPr="001E15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ОХЛП</w:t>
            </w:r>
            <w:r w:rsidR="00B94626" w:rsidRPr="001E15CA">
              <w:rPr>
                <w:rFonts w:ascii="Times New Roman" w:hAnsi="Times New Roman" w:cs="Times New Roman"/>
                <w:sz w:val="28"/>
                <w:szCs w:val="28"/>
              </w:rPr>
              <w:t>/листк</w:t>
            </w:r>
            <w:r w:rsidR="002639FD" w:rsidRPr="001E15CA">
              <w:rPr>
                <w:rFonts w:ascii="Times New Roman" w:hAnsi="Times New Roman" w:cs="Times New Roman"/>
                <w:sz w:val="28"/>
                <w:szCs w:val="28"/>
              </w:rPr>
              <w:t>а-вкладыша)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5146" w:rsidRPr="001E15CA" w14:paraId="0BD25C03" w14:textId="77777777" w:rsidTr="001E15CA">
        <w:tc>
          <w:tcPr>
            <w:tcW w:w="1106" w:type="dxa"/>
          </w:tcPr>
          <w:p w14:paraId="3B0668AF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975" w:type="dxa"/>
          </w:tcPr>
          <w:p w14:paraId="7FEADCD5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Каким образом сообщать о нежелательных реакциях, полученных по запросу, включая пострегистрационные исследования (в том числе пострегистрационные исследования по безопасности), регистры, маркетинговые исследования, опросы и др.?</w:t>
            </w:r>
          </w:p>
        </w:tc>
        <w:tc>
          <w:tcPr>
            <w:tcW w:w="7938" w:type="dxa"/>
          </w:tcPr>
          <w:p w14:paraId="7026E0B8" w14:textId="49E66A1A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о</w:t>
            </w: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15CA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>нежелательных реакциях, полученных по запросу, включая неинтервенционные пострегистрационные исследования, регистры, маркетинговые исследования и др.</w:t>
            </w:r>
            <w:r w:rsidR="001F1D22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>,</w:t>
            </w:r>
            <w:r w:rsidRPr="001E15CA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 xml:space="preserve"> нужно передавать в уполномоченные органы 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1E15CA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 xml:space="preserve"> в соответствии с Правила</w:t>
            </w:r>
            <w:r w:rsidR="009B2D3E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ми</w:t>
            </w:r>
            <w:r w:rsidRPr="001E15CA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 xml:space="preserve"> НПФ ЕАЭС:</w:t>
            </w:r>
          </w:p>
          <w:p w14:paraId="1E87F11A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 календарных дней для сообщения о серьезной нежелательной реакции, выявленной на территории государства-члена; 15 календарных дней для сообщения о серьезной непредвиденной нежелательной реакции, выявленной на территориях иных государств.</w:t>
            </w:r>
          </w:p>
          <w:p w14:paraId="60392878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 xml:space="preserve">Для интервенционных исследований предоставление индивидуальных сообщений о НЯ осуществляется в </w:t>
            </w:r>
            <w:r w:rsidRPr="001E15CA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lastRenderedPageBreak/>
              <w:t>соответствии с Приложением 11 к Правилам надлежащей клинической практики ЕАЭС.</w:t>
            </w:r>
          </w:p>
        </w:tc>
      </w:tr>
      <w:tr w:rsidR="00642052" w:rsidRPr="001E15CA" w14:paraId="1C95018C" w14:textId="77777777" w:rsidTr="001E15CA">
        <w:tc>
          <w:tcPr>
            <w:tcW w:w="1106" w:type="dxa"/>
          </w:tcPr>
          <w:p w14:paraId="20209F75" w14:textId="77777777" w:rsidR="00642052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6975" w:type="dxa"/>
          </w:tcPr>
          <w:p w14:paraId="1E92001B" w14:textId="77777777" w:rsidR="00642052" w:rsidRPr="001E15CA" w:rsidRDefault="0064205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Каким образом передавать данные по нежелательным реакциям в ходе пострегистрационных исследований безопасности (далее-ПРИБ)?</w:t>
            </w:r>
          </w:p>
          <w:p w14:paraId="621AD2EA" w14:textId="77777777" w:rsidR="00642052" w:rsidRPr="001E15CA" w:rsidRDefault="0064205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A1A434F" w14:textId="026B88B4" w:rsidR="00642052" w:rsidRPr="001E15CA" w:rsidRDefault="0064205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Сообщения из интервенционных ПРИБ следует направлять в соответствии с требованиями Правил надлежащей клинической практики </w:t>
            </w:r>
            <w:r w:rsidR="00297EDB"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ЕАЭС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выявленные в ходе клинических исследований. Сообщения из неинтервенционных ПРИБ следует направлять </w:t>
            </w:r>
            <w:r w:rsidR="001F1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соответствии с требованиями Правил надлежащей практики фармаконадзора </w:t>
            </w:r>
            <w:r w:rsidR="00297EDB"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ЕАЭС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нежелательные реакции на зарегистрированные лекарственные препараты.</w:t>
            </w:r>
          </w:p>
        </w:tc>
      </w:tr>
      <w:tr w:rsidR="00FD5146" w:rsidRPr="001E15CA" w14:paraId="78B9B83C" w14:textId="77777777" w:rsidTr="001E15CA">
        <w:tc>
          <w:tcPr>
            <w:tcW w:w="1106" w:type="dxa"/>
          </w:tcPr>
          <w:p w14:paraId="1B691527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975" w:type="dxa"/>
          </w:tcPr>
          <w:p w14:paraId="295D42F9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 ли Идентифицируемым репортер (заявитель) индивидуального сообщения, если его контактные данные есть, но связаться по ним невозможно (например, имеется адрес электронной почты, но заявитель не отвечает на запрос)?</w:t>
            </w:r>
          </w:p>
        </w:tc>
        <w:tc>
          <w:tcPr>
            <w:tcW w:w="7938" w:type="dxa"/>
          </w:tcPr>
          <w:p w14:paraId="79DF2112" w14:textId="14C9508A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</w:t>
            </w:r>
            <w:r w:rsidR="00297EDB"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</w:t>
            </w:r>
            <w:r w:rsidR="00147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="00297EDB"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надлежащей практики фармаконадзора ЕАЭС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0004AED9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идентифицируемый репортер (первоисточник) может быть идентифицирован по таким параметрам, как квалификация (например, врач, провизор, фармацевт, другой медицинский специалист, а также пациент, потребитель или другое лицо, не имеющее медицинского образования), имя, инициалы или место нахождения (адрес) (например, наименование организации репортера, улицы, города, области, почтовый код, страна, электронная почта, номер телефона). </w:t>
            </w:r>
          </w:p>
          <w:p w14:paraId="4EB45F52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отношении случаев нежелательных реакций, описанных в сети Интернет или цифровых средствах информации, идентифицируемость составителя сообщения относится к проверке существования реального лица, то есть возможности проверить правильность контактных данных составителя отчета (например, был представлен действительный адрес электронной почты).</w:t>
            </w:r>
          </w:p>
        </w:tc>
      </w:tr>
      <w:tr w:rsidR="00FD5146" w:rsidRPr="001E15CA" w14:paraId="72E89C25" w14:textId="77777777" w:rsidTr="001E15CA">
        <w:tc>
          <w:tcPr>
            <w:tcW w:w="1106" w:type="dxa"/>
          </w:tcPr>
          <w:p w14:paraId="07DDCFA2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975" w:type="dxa"/>
          </w:tcPr>
          <w:p w14:paraId="63733AD0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Является ли Идентифицируемым репортер (заявитель) индивидуального сообщения, если его контактные данные отсутствуют (например, заявитель позвонил в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Компанию, оставил сообщение, но свою контактную информацию (ФИО, телефон) отказался предоставлять)?</w:t>
            </w:r>
          </w:p>
        </w:tc>
        <w:tc>
          <w:tcPr>
            <w:tcW w:w="7938" w:type="dxa"/>
          </w:tcPr>
          <w:p w14:paraId="56A429E8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Следует руководствоваться положением правил НПФ «Если репортер не желает представлять контактные данные, следует считать сообщение о нежелательной реакции валидным при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условии, что организация, проинформированная о случае, способна подтвердить его напрямую с репортером».</w:t>
            </w:r>
          </w:p>
        </w:tc>
      </w:tr>
      <w:tr w:rsidR="00FD5146" w:rsidRPr="001E15CA" w14:paraId="72656774" w14:textId="77777777" w:rsidTr="001E15CA">
        <w:tc>
          <w:tcPr>
            <w:tcW w:w="1106" w:type="dxa"/>
          </w:tcPr>
          <w:p w14:paraId="60BB22BD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6975" w:type="dxa"/>
          </w:tcPr>
          <w:p w14:paraId="06308AB3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каком виде должно быть получено согласие на представление дополнительной информации у медицинского работника (достаточно ли в данном случае устного подтверждения)?</w:t>
            </w:r>
          </w:p>
          <w:p w14:paraId="0F45A6EF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E21D13F" w14:textId="0D8B8E15" w:rsidR="00FD5146" w:rsidRPr="001E15CA" w:rsidRDefault="00FD5146" w:rsidP="001A52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Пациент может предоставлять информацию о контактах своего лечащего врача представителю </w:t>
            </w:r>
            <w:r w:rsidR="001A5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1A522D"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ержателя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регистрационного удостоверения. Факт предоставления пациентом информации о лечащем враче/ мед.</w:t>
            </w:r>
            <w:r w:rsidR="00147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работнике является согласием на контакт представителя ДРУ с мед.</w:t>
            </w:r>
            <w:r w:rsidR="00147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работником для получения дополнительной информации. Устного согласия на предоставление данной информации достаточно. Факт предоставления дополнительной информации врачом является согласием на представление дополнительной информации, если такая информация предоставляется. В случае, если мед.</w:t>
            </w:r>
            <w:r w:rsidR="00147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 не согласен предоставлять дополнительную информацию, он/она могут отказаться в устной или письменной форме. Отказ в предоставлении согласия на запрос/предоставление дополнительной информации (устный или письменный) документально фиксируется представителем ДРУ.</w:t>
            </w:r>
          </w:p>
        </w:tc>
      </w:tr>
      <w:tr w:rsidR="00FD5146" w:rsidRPr="001E15CA" w14:paraId="6F20F3A3" w14:textId="77777777" w:rsidTr="001E15CA">
        <w:tc>
          <w:tcPr>
            <w:tcW w:w="1106" w:type="dxa"/>
          </w:tcPr>
          <w:p w14:paraId="373EB9DD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975" w:type="dxa"/>
          </w:tcPr>
          <w:p w14:paraId="7C6D1C56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Какой идентификатор пациента является достаточным для предоставления сообщения в регуляторные органы?</w:t>
            </w:r>
          </w:p>
        </w:tc>
        <w:tc>
          <w:tcPr>
            <w:tcW w:w="7938" w:type="dxa"/>
          </w:tcPr>
          <w:p w14:paraId="00E51345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Для идентификации пациента допускается указание как минимум одной из следующих характеристик: инициалы пациента, номер медицинской карты (амбулаторной, карты стационарного больного, карты с результатами обследования), дата рождения, возраст или возрастная группа, период гестации и пол. Однако пациент считается идентифицируемым, если на основании имеющихся данных представляется возможным подтвердить существование данного пациента. Поэтому информация об идентификации пациента должна быть наиболее полной с учетом законодательства государства-члена в области защиты персональных данных. Сообщение может считаться валидным для последующего представления в уполномоченный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при наличии как минимум одной из указанных характеристик пациента.</w:t>
            </w:r>
          </w:p>
        </w:tc>
      </w:tr>
      <w:tr w:rsidR="0062064C" w:rsidRPr="001E15CA" w14:paraId="6DE90C3F" w14:textId="77777777" w:rsidTr="001E15CA">
        <w:tc>
          <w:tcPr>
            <w:tcW w:w="1106" w:type="dxa"/>
          </w:tcPr>
          <w:p w14:paraId="5E2FAF8C" w14:textId="77777777" w:rsidR="0062064C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6975" w:type="dxa"/>
          </w:tcPr>
          <w:p w14:paraId="666E727C" w14:textId="77777777" w:rsidR="0062064C" w:rsidRPr="001E15CA" w:rsidRDefault="006206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Как компания </w:t>
            </w:r>
            <w:r w:rsidR="00495E14" w:rsidRPr="001E15CA">
              <w:rPr>
                <w:rFonts w:ascii="Times New Roman" w:hAnsi="Times New Roman" w:cs="Times New Roman"/>
                <w:sz w:val="28"/>
                <w:szCs w:val="28"/>
              </w:rPr>
              <w:t>может получать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данные по безопасности лекарственного препарата при проведении программы применения лекарственного препарата, назначенного в связи с исключительными обстоятельствами из соображений сострадания, персонализированной программы использования незарегистрированного лекарственного препарата?</w:t>
            </w:r>
          </w:p>
        </w:tc>
        <w:tc>
          <w:tcPr>
            <w:tcW w:w="7938" w:type="dxa"/>
          </w:tcPr>
          <w:p w14:paraId="362AFD14" w14:textId="77777777" w:rsidR="006312FF" w:rsidRPr="001E15CA" w:rsidRDefault="006312FF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474 Правил НПФ ЕАЭС, возможны два варианта</w:t>
            </w:r>
            <w:r w:rsidR="00495E14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34AC7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учетом национального законодательства в конкретной стране и(или) внутренних процедур компании:</w:t>
            </w:r>
          </w:p>
          <w:p w14:paraId="2A3BAFAD" w14:textId="77777777" w:rsidR="006312FF" w:rsidRPr="001E15CA" w:rsidRDefault="006312FF" w:rsidP="003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4AC7" w:rsidRPr="001E15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омпания – организатор программы может предусмотреть предоставление сообщений специалистами здравоохранения в рамках организованной системы сбора данных и обрабатывать их как сообщения по запросу. </w:t>
            </w:r>
          </w:p>
          <w:p w14:paraId="4ECF374B" w14:textId="77777777" w:rsidR="006312FF" w:rsidRPr="001E15CA" w:rsidRDefault="006312FF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(Если при проведении этой программы получено сообщение вне системы организованного сбора данных, оно будет обрабатываться как спонтанное)</w:t>
            </w:r>
            <w:r w:rsidR="00B34AC7" w:rsidRPr="001E15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8921F7" w14:textId="77777777" w:rsidR="0062064C" w:rsidRPr="001E15CA" w:rsidRDefault="006312FF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4AC7" w:rsidRPr="001E15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омпания – организатор программы может предусмотреть сбор сообщений в форме спонтанного репортирования</w:t>
            </w:r>
            <w:r w:rsidR="00B34AC7"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5146" w:rsidRPr="001E15CA" w14:paraId="592C0417" w14:textId="77777777" w:rsidTr="001E15CA">
        <w:tc>
          <w:tcPr>
            <w:tcW w:w="1106" w:type="dxa"/>
          </w:tcPr>
          <w:p w14:paraId="2087AF1F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975" w:type="dxa"/>
          </w:tcPr>
          <w:p w14:paraId="1055F0D6" w14:textId="278142A3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сообщать о нежелательных реакциях, полученных при применении незарегистрированного лекарственного препарата по жизненным показаниям в рамках персонализированной программы по разрешению Минздрава </w:t>
            </w:r>
            <w:r w:rsidR="002D13A7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?   </w:t>
            </w:r>
          </w:p>
          <w:p w14:paraId="4C04FA8A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60C4DD5" w14:textId="24E61CDE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2A2A2A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Сообщения о нежелательных реакциях,</w:t>
            </w:r>
            <w:r w:rsidRPr="001E15CA">
              <w:rPr>
                <w:rStyle w:val="af"/>
                <w:rFonts w:ascii="Times New Roman" w:hAnsi="Times New Roman" w:cs="Times New Roman"/>
                <w:color w:val="2A2A2A"/>
                <w:sz w:val="28"/>
                <w:szCs w:val="28"/>
              </w:rPr>
              <w:t xml:space="preserve"> </w:t>
            </w:r>
            <w:r w:rsidR="005168C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выявленных на территории 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5168C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при применении незарегистрированного лекарственного препарата по жизненным показаниям в рамках персонализированной программы,</w:t>
            </w:r>
            <w:r w:rsidRPr="001E15CA">
              <w:rPr>
                <w:rStyle w:val="af"/>
                <w:rFonts w:ascii="Times New Roman" w:hAnsi="Times New Roman" w:cs="Times New Roman"/>
                <w:color w:val="2A2A2A"/>
                <w:sz w:val="28"/>
                <w:szCs w:val="28"/>
              </w:rPr>
              <w:t xml:space="preserve"> </w:t>
            </w:r>
            <w:r w:rsidRPr="001E15CA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 xml:space="preserve">нужно передавать в уполномоченные органы через систему АИС </w:t>
            </w:r>
            <w:r w:rsidR="005168C5" w:rsidRPr="001E15CA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>Р</w:t>
            </w:r>
            <w:r w:rsidR="00162C04" w:rsidRPr="001E15CA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>о</w:t>
            </w:r>
            <w:r w:rsidR="005168C5" w:rsidRPr="001E15CA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>сздравнадзора</w:t>
            </w:r>
            <w:r w:rsidR="00022E67" w:rsidRPr="001E15CA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 xml:space="preserve"> </w:t>
            </w:r>
            <w:r w:rsidRPr="001E15CA">
              <w:rPr>
                <w:rStyle w:val="af"/>
                <w:rFonts w:ascii="Times New Roman" w:hAnsi="Times New Roman" w:cs="Times New Roman"/>
                <w:b w:val="0"/>
                <w:bCs w:val="0"/>
                <w:color w:val="2A2A2A"/>
                <w:sz w:val="28"/>
                <w:szCs w:val="28"/>
              </w:rPr>
              <w:t>или по адресу электронной почты</w:t>
            </w:r>
            <w:r w:rsidRPr="001E15CA">
              <w:rPr>
                <w:rStyle w:val="af"/>
                <w:rFonts w:ascii="Times New Roman" w:hAnsi="Times New Roman" w:cs="Times New Roman"/>
                <w:color w:val="2A2A2A"/>
                <w:sz w:val="28"/>
                <w:szCs w:val="28"/>
              </w:rPr>
              <w:t xml:space="preserve"> </w:t>
            </w:r>
            <w:hyperlink r:id="rId11" w:history="1">
              <w:r w:rsidR="005168C5" w:rsidRPr="001E15C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pharm@roszdravnadzor.</w:t>
              </w:r>
              <w:r w:rsidR="005168C5" w:rsidRPr="001E15CA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5168C5" w:rsidRPr="001E15C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  <w:r w:rsidR="006F47F0">
              <w:t xml:space="preserve"> </w:t>
            </w:r>
            <w:r w:rsidRPr="001E15CA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в соответствии с Правил</w:t>
            </w:r>
            <w:r w:rsidR="001F1D22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>ами</w:t>
            </w:r>
            <w:r w:rsidRPr="001E15CA">
              <w:rPr>
                <w:rFonts w:ascii="Times New Roman" w:hAnsi="Times New Roman" w:cs="Times New Roman"/>
                <w:color w:val="2A2A2A"/>
                <w:sz w:val="28"/>
                <w:szCs w:val="28"/>
              </w:rPr>
              <w:t xml:space="preserve"> НПФ ЕАЭС:</w:t>
            </w:r>
          </w:p>
          <w:p w14:paraId="5112CC14" w14:textId="60EEC75C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15 календарных дней для сообщения о серьезной нежелательной реакции, выявленной на территории </w:t>
            </w:r>
            <w:r w:rsidR="00C97682" w:rsidRPr="001A52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Российской Федерации</w:t>
            </w:r>
            <w:r w:rsidRPr="001E15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FD5146" w:rsidRPr="001E15CA" w14:paraId="364BF84A" w14:textId="77777777" w:rsidTr="001E15CA">
        <w:tc>
          <w:tcPr>
            <w:tcW w:w="1106" w:type="dxa"/>
          </w:tcPr>
          <w:p w14:paraId="08A5C49E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6975" w:type="dxa"/>
          </w:tcPr>
          <w:p w14:paraId="5A74A834" w14:textId="364A48BC" w:rsidR="00FD5146" w:rsidRPr="001E15CA" w:rsidRDefault="00FD5146" w:rsidP="00C424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Каким образом </w:t>
            </w:r>
            <w:r w:rsidR="00C42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ержателям регистрационных удостоверений рекомендуется проводить и документировать регулярный мониторинг информационно-телекоммуникационной сети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«Интернет» или цифровых средств информации, веб-сайтов, веб-страниц, блогов, видеоблогов, социальных сетей, интернет-форумов, видеочатов, порталов по теме здравоохранения, находящихся под управлением или ответственностью ДРУ, на наличие потенциальных сообщений о подозреваемых нежелательных реакциях?</w:t>
            </w:r>
          </w:p>
        </w:tc>
        <w:tc>
          <w:tcPr>
            <w:tcW w:w="7938" w:type="dxa"/>
          </w:tcPr>
          <w:p w14:paraId="4865C5AE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 xml:space="preserve">Держатель регистрационного удостоверения должен разработать механизм документирования мониторинга в соответствии с </w:t>
            </w:r>
            <w:r w:rsidRPr="001E1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Правилами надлежащей практики фармаконадзора ЕАЭС в сроки</w:t>
            </w: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позволяющие своевременно </w:t>
            </w: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>предоставлять в регуляторные органы индивидуальные сообщения по безопасности.</w:t>
            </w:r>
          </w:p>
          <w:p w14:paraId="035D888B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532B3A" w:rsidRPr="001E15CA" w14:paraId="353DC9F1" w14:textId="77777777" w:rsidTr="001E15CA">
        <w:tc>
          <w:tcPr>
            <w:tcW w:w="1106" w:type="dxa"/>
          </w:tcPr>
          <w:p w14:paraId="1B8106C7" w14:textId="77777777" w:rsidR="00532B3A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6975" w:type="dxa"/>
          </w:tcPr>
          <w:p w14:paraId="3FEDB63E" w14:textId="77777777" w:rsidR="00532B3A" w:rsidRPr="001E15CA" w:rsidRDefault="00532B3A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Каким образом необходимо репортировать информацию о нежелательных реакциях на зарегистрированные препараты других держателей регистрационных удостоверений, которые применяются в качестве сопутствующей терапии при проведении клинических исследований и не являются исследуемым препаратом?</w:t>
            </w:r>
          </w:p>
        </w:tc>
        <w:tc>
          <w:tcPr>
            <w:tcW w:w="7938" w:type="dxa"/>
          </w:tcPr>
          <w:p w14:paraId="1D7539F9" w14:textId="2AEE2639" w:rsidR="00532B3A" w:rsidRPr="001E15CA" w:rsidRDefault="00532B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Информацию о полученных нежелательных реакциях на препараты других держателей регистрационных удостоверений, в том числе связанных с сопутствующей терапией, спонсор клинического исследования вправе передать соответствующим держателям регистрационных удостоверений на территории </w:t>
            </w:r>
            <w:r w:rsidR="000E0A16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российской Федерации</w:t>
            </w:r>
            <w:r w:rsidR="000E0A16"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или внести в АИС Росздравнадзора.</w:t>
            </w:r>
          </w:p>
        </w:tc>
      </w:tr>
      <w:tr w:rsidR="00FD5146" w:rsidRPr="001E15CA" w14:paraId="0F6F0208" w14:textId="77777777" w:rsidTr="001E15CA">
        <w:tc>
          <w:tcPr>
            <w:tcW w:w="1106" w:type="dxa"/>
          </w:tcPr>
          <w:p w14:paraId="1E78FD24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6975" w:type="dxa"/>
          </w:tcPr>
          <w:p w14:paraId="229418B5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Планируется ли публикация версии списка важных с медицинской точки зрения событий (</w:t>
            </w:r>
            <w:r w:rsidRPr="001E15CA">
              <w:rPr>
                <w:rFonts w:ascii="Times New Roman" w:hAnsi="Times New Roman" w:cs="Times New Roman"/>
                <w:i/>
                <w:iCs/>
                <w:color w:val="000000" w:themeColor="text1"/>
                <w:kern w:val="36"/>
                <w:sz w:val="28"/>
                <w:szCs w:val="28"/>
              </w:rPr>
              <w:t>Important Medical Event List</w:t>
            </w: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)? </w:t>
            </w:r>
          </w:p>
          <w:p w14:paraId="2684AE4C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B1F6B95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В настоящее время в целях оценки последнего критерия серьезности индивидуальных сообщений («требует медицинского вмешательства для предотвращения развития перечисленных состояний») можно пользоваться Европейским списком Important Medical Event List, публикуемым EMA. </w:t>
            </w:r>
          </w:p>
        </w:tc>
      </w:tr>
      <w:tr w:rsidR="00FD5146" w:rsidRPr="001E15CA" w14:paraId="133735EB" w14:textId="77777777" w:rsidTr="001E15CA">
        <w:tc>
          <w:tcPr>
            <w:tcW w:w="1106" w:type="dxa"/>
          </w:tcPr>
          <w:p w14:paraId="30ADAAA6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6975" w:type="dxa"/>
          </w:tcPr>
          <w:p w14:paraId="11786F8F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Где можно найти руководство по пользованию шлюзом базы данных АИС?</w:t>
            </w:r>
          </w:p>
        </w:tc>
        <w:tc>
          <w:tcPr>
            <w:tcW w:w="7938" w:type="dxa"/>
          </w:tcPr>
          <w:p w14:paraId="545C7ED7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Новый функционал доступен для пользователей подсистемы «Фармаконадзор / Мониторинг КИ ЛС» АИС Росздравнадзора, которые зарегистрированы на внешнем информационном ресурсе http://external.roszdravnadzor.ru/?type=logon  и имеющие подтвержденную учетную запись на портале с ролью пользователя «Фармаконадзор/Мониторинг КИ ЛС. Фармацевтическая компания/Представительство компании/Дистрибьютор».</w:t>
            </w:r>
          </w:p>
          <w:p w14:paraId="7B7AD94A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Для начала работы необходимо воспользоваться разделом «Шлюз AS2» в главном меню подсистемы.</w:t>
            </w:r>
          </w:p>
          <w:p w14:paraId="32EEEE42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С подробным описанием функционала можно ознакомиться, скачав Инструкцию по работе с разделом «Шлюз AS2» в разделе </w:t>
            </w: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lastRenderedPageBreak/>
              <w:t>меню «О подсистеме». В этом же разделе дополнительно рекомендуем ознакомиться с файлом «Часто задаваемые вопросы Шлюз AS2».</w:t>
            </w:r>
          </w:p>
        </w:tc>
      </w:tr>
      <w:tr w:rsidR="00FD5146" w:rsidRPr="001E15CA" w14:paraId="0DABD667" w14:textId="77777777" w:rsidTr="001E15CA">
        <w:tc>
          <w:tcPr>
            <w:tcW w:w="1106" w:type="dxa"/>
          </w:tcPr>
          <w:p w14:paraId="481C26FA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6975" w:type="dxa"/>
          </w:tcPr>
          <w:p w14:paraId="7B101DE8" w14:textId="75B91A93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Согласно пункту 491 НФП ЕАЭС: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получения держателем регистрационного удостоверения </w:t>
            </w: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период между подачей заявки на регистрацию лекарственного препарата и получением регистрационного удостоверения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нежелательных реакциях,  выявленных при применении лекарственного препарата на территории других стран,</w:t>
            </w: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валидные индивидуальные сообщения о нежелательных реакциях, сформированные на основании сообщений, полученных по запросу и не по запросу, подлежат представлению в уполномоченный орган согласно пункту 448 настоящих Правил.</w:t>
            </w:r>
          </w:p>
          <w:p w14:paraId="34584C5C" w14:textId="0D3D2DAE" w:rsidR="006F47F0" w:rsidRDefault="00FD5146" w:rsidP="006F47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1) Должны ли срочные отчеты вноситься в АИС </w:t>
            </w:r>
            <w:r w:rsidR="002D13A7" w:rsidRPr="001E15CA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A7641A9" w14:textId="5BC5B5E7" w:rsidR="00FD5146" w:rsidRPr="001E15CA" w:rsidRDefault="00FD5146" w:rsidP="006F47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2) Можно ли технически передавать через шлюз в АИС </w:t>
            </w:r>
            <w:r w:rsidR="002D13A7" w:rsidRPr="002D13A7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пострегистрационные сообщения по незарегистрированным в стране препаратам?</w:t>
            </w:r>
          </w:p>
        </w:tc>
        <w:tc>
          <w:tcPr>
            <w:tcW w:w="7938" w:type="dxa"/>
          </w:tcPr>
          <w:p w14:paraId="65C1BADF" w14:textId="77777777" w:rsidR="00F527C1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1) Данные сообщения </w:t>
            </w:r>
            <w:r w:rsidR="00892250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следует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вносить в АИС Р</w:t>
            </w:r>
            <w:r w:rsidR="00685A65" w:rsidRPr="001E15CA">
              <w:rPr>
                <w:rFonts w:ascii="Times New Roman" w:hAnsi="Times New Roman" w:cs="Times New Roman"/>
                <w:sz w:val="28"/>
                <w:szCs w:val="28"/>
              </w:rPr>
              <w:t>осздравнадзора</w:t>
            </w:r>
          </w:p>
          <w:p w14:paraId="542AEBFB" w14:textId="174A3803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2)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Пострегистрационные сообщения по незарегистрированным в стране препаратам возможно передавать через шлюз в АИС </w:t>
            </w:r>
            <w:r w:rsidR="000E0A16" w:rsidRPr="000E0A16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5146" w:rsidRPr="001E15CA" w14:paraId="619EA871" w14:textId="77777777" w:rsidTr="001E15CA">
        <w:tc>
          <w:tcPr>
            <w:tcW w:w="1106" w:type="dxa"/>
          </w:tcPr>
          <w:p w14:paraId="144CD535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6975" w:type="dxa"/>
          </w:tcPr>
          <w:p w14:paraId="629C1709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При проведении Исследований, инициированных исследователями (ИИИ), когда исследователь является спонсором, но получает поддержку от держателя регистрационного удостоверения, кто является ответственным за предоставление срочных отчетов по НР в уполномоченные органы?</w:t>
            </w:r>
          </w:p>
        </w:tc>
        <w:tc>
          <w:tcPr>
            <w:tcW w:w="7938" w:type="dxa"/>
          </w:tcPr>
          <w:p w14:paraId="192CAABC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В данном случае обязанность по предоставлению срочных отчетов по безопасности в уполномоченные органы (спонсор и/или ДРУ) должна быть указана в протоколе или соглашении между ДРУ и инициатором исследования.</w:t>
            </w:r>
          </w:p>
        </w:tc>
      </w:tr>
      <w:tr w:rsidR="000F334F" w:rsidRPr="001E15CA" w14:paraId="00058F9C" w14:textId="77777777" w:rsidTr="001E15CA">
        <w:tc>
          <w:tcPr>
            <w:tcW w:w="16019" w:type="dxa"/>
            <w:gridSpan w:val="3"/>
          </w:tcPr>
          <w:p w14:paraId="1EB0CF18" w14:textId="77777777" w:rsidR="000F334F" w:rsidRPr="001E15CA" w:rsidRDefault="000F334F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Периодический обновляемый отчет по безопасности (ПО</w:t>
            </w:r>
            <w:r w:rsidR="00DA11A1"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</w:tr>
      <w:tr w:rsidR="00FD5146" w:rsidRPr="001E15CA" w14:paraId="40E1BBAB" w14:textId="77777777" w:rsidTr="001E15CA">
        <w:tc>
          <w:tcPr>
            <w:tcW w:w="1106" w:type="dxa"/>
          </w:tcPr>
          <w:p w14:paraId="7062F683" w14:textId="77777777" w:rsidR="00FD5146" w:rsidRPr="001E15CA" w:rsidRDefault="00797C4C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6975" w:type="dxa"/>
          </w:tcPr>
          <w:p w14:paraId="1F97EB31" w14:textId="155393B3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Существует ли возможность загружать ПООБ в АИС Росздравнадзора</w:t>
            </w:r>
            <w:r w:rsidR="000E0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с получением электронного подтверждения и присвоением референсного номера? </w:t>
            </w:r>
          </w:p>
          <w:p w14:paraId="222671EC" w14:textId="77777777" w:rsidR="00FD5146" w:rsidRPr="001E15CA" w:rsidRDefault="00685A65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Может ли заявитель получать автоматические уведомления из АИС Росздравнадзора в случае отклонения ПООБ экспертом?</w:t>
            </w:r>
          </w:p>
        </w:tc>
        <w:tc>
          <w:tcPr>
            <w:tcW w:w="7938" w:type="dxa"/>
          </w:tcPr>
          <w:p w14:paraId="37ED2A46" w14:textId="4255EDE1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Да, есть возможность загружать ПООБ в АИС Росздравнадзора. Подтверждение отправляется по электронной почте заявителя.</w:t>
            </w:r>
          </w:p>
          <w:p w14:paraId="207B9A78" w14:textId="77777777" w:rsidR="00685A65" w:rsidRPr="001E15CA" w:rsidRDefault="00685A65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В случае отклонения ПООБ экспертом соответствующее уведомление приходит на адрес электронной почты заявителя.</w:t>
            </w:r>
          </w:p>
        </w:tc>
      </w:tr>
      <w:tr w:rsidR="00FD5146" w:rsidRPr="001E15CA" w14:paraId="12921275" w14:textId="77777777" w:rsidTr="001E15CA">
        <w:tc>
          <w:tcPr>
            <w:tcW w:w="1106" w:type="dxa"/>
          </w:tcPr>
          <w:p w14:paraId="2EE9734D" w14:textId="77777777" w:rsidR="00FD5146" w:rsidRPr="001E15CA" w:rsidRDefault="003C4098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75" w:type="dxa"/>
          </w:tcPr>
          <w:p w14:paraId="4CF92531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8094569"/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подтвердите, что </w:t>
            </w:r>
            <w:r w:rsidRPr="001E15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отсутствует необходимость предоставления периодического отчета по безопасности (ПООБ) после даты отмены регистрационного удостоверения Минздравом России и его соответствующего исключения из российского государственного реестра лекарственных средств для медицинского применения (ГРЛС) или реестра ЕАЭС.</w:t>
            </w:r>
          </w:p>
        </w:tc>
        <w:tc>
          <w:tcPr>
            <w:tcW w:w="7938" w:type="dxa"/>
          </w:tcPr>
          <w:p w14:paraId="23AADF65" w14:textId="3B43559D" w:rsidR="000E0A16" w:rsidRPr="000E0A16" w:rsidRDefault="000E0A16" w:rsidP="000E0A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0A16">
              <w:rPr>
                <w:rFonts w:ascii="Times New Roman" w:hAnsi="Times New Roman" w:cs="Times New Roman"/>
                <w:sz w:val="28"/>
                <w:szCs w:val="28"/>
              </w:rPr>
              <w:t>редставление периодического обновляемого отчета по безопасности лекарственного препарата после окончания действия регистрационного удостоверения не является обязательным.</w:t>
            </w:r>
          </w:p>
          <w:p w14:paraId="0D14A8F0" w14:textId="04D4109B" w:rsidR="00FD5146" w:rsidRPr="001E15CA" w:rsidRDefault="000E0A16" w:rsidP="000E0A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Сохраняется</w:t>
            </w:r>
            <w:r w:rsidRPr="000E0A1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0A1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деятельности по приему, обработке, и анализу поступающих сообщений о побочных действиях, нежелательных реакциях, серьезных нежелательных и непредвиденных нежелательных реакциях, а также об иных фактах и обстоятельствах, представляющих угрозу жизни или здоровью человека при применении лекарственного препарата, находящегося в обращении, до истечения срока годности введенного в гражданский оборот препарата.</w:t>
            </w:r>
          </w:p>
          <w:p w14:paraId="6CA1B462" w14:textId="77777777" w:rsidR="00FD5146" w:rsidRPr="001E15CA" w:rsidRDefault="00FD5146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Росздравнадзор имеет право запросить ПООБ после отмены регистрации (например, при отмене регистрации по причинам безопасности лекарственного препарата). Росздравнадзор информирует о таком решении компанию, которая являлась держателем регистрационного удостоверения. </w:t>
            </w:r>
          </w:p>
        </w:tc>
      </w:tr>
      <w:tr w:rsidR="00F527C1" w:rsidRPr="001E15CA" w14:paraId="4C4B8770" w14:textId="77777777" w:rsidTr="001E15CA">
        <w:tc>
          <w:tcPr>
            <w:tcW w:w="1106" w:type="dxa"/>
          </w:tcPr>
          <w:p w14:paraId="08DAD9EA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DB2" w:rsidRPr="001E1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5" w:type="dxa"/>
          </w:tcPr>
          <w:p w14:paraId="4EE69D74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каком формате </w:t>
            </w:r>
            <w:r w:rsidR="005C71C9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подача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заявлени</w:t>
            </w:r>
            <w:r w:rsidR="005C71C9" w:rsidRPr="001E15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r w:rsidR="005C71C9" w:rsidRPr="001E15CA">
              <w:rPr>
                <w:rFonts w:ascii="Times New Roman" w:hAnsi="Times New Roman" w:cs="Times New Roman"/>
                <w:sz w:val="28"/>
                <w:szCs w:val="28"/>
              </w:rPr>
              <w:t>реализации возможности не подавать периодические обновляемые отчеты по безопасности на воспроизведенные лекарственные препараты (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71C9"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698</w:t>
            </w:r>
            <w:r w:rsidR="005C71C9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1C9"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ешения </w:t>
            </w:r>
            <w:r w:rsidR="005C71C9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ЕАЭС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№87 об утверждении правил Надлежащей Практики Фармаконадзора Евразийского Экономического Союза (в ред. решения Совета Евразийской Экономической Комиссии от 19.05.2022 №81)?   </w:t>
            </w:r>
          </w:p>
        </w:tc>
        <w:tc>
          <w:tcPr>
            <w:tcW w:w="7938" w:type="dxa"/>
          </w:tcPr>
          <w:p w14:paraId="003354DE" w14:textId="77777777" w:rsidR="00F527C1" w:rsidRPr="007B2FBD" w:rsidRDefault="00995E9F" w:rsidP="00995E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направить письмо с обоснованием за подписью УЛФ на адрес:</w:t>
            </w:r>
            <w:r w:rsidR="000A50D5" w:rsidRPr="007B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7B2FB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pharm</w:t>
              </w:r>
              <w:r w:rsidRPr="007B2FB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B2FB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roszdravnadzor</w:t>
              </w:r>
              <w:r w:rsidRPr="007B2FB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B2FB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7B2FB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B2FB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B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27C1" w:rsidRPr="001E15CA" w14:paraId="7A93F88C" w14:textId="77777777" w:rsidTr="001E15CA">
        <w:tc>
          <w:tcPr>
            <w:tcW w:w="1106" w:type="dxa"/>
          </w:tcPr>
          <w:p w14:paraId="0897B5C6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A0DB2" w:rsidRPr="001E15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5" w:type="dxa"/>
          </w:tcPr>
          <w:p w14:paraId="3F2525E0" w14:textId="568DB3BE" w:rsidR="00F527C1" w:rsidRPr="001E15CA" w:rsidRDefault="005C71C9" w:rsidP="00112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Просьба подтвердить необходимость подачи ПООБ в АИС </w:t>
            </w:r>
            <w:r w:rsidR="006A3C3D" w:rsidRPr="001E15CA">
              <w:rPr>
                <w:rFonts w:ascii="Times New Roman" w:hAnsi="Times New Roman" w:cs="Times New Roman"/>
                <w:sz w:val="28"/>
                <w:szCs w:val="28"/>
              </w:rPr>
              <w:t>Росздравнадзор</w:t>
            </w:r>
            <w:r w:rsidR="006A3C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РУ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даже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одинаковых </w:t>
            </w:r>
            <w:r w:rsidR="0011226D">
              <w:rPr>
                <w:rFonts w:ascii="Times New Roman" w:hAnsi="Times New Roman" w:cs="Times New Roman"/>
                <w:sz w:val="28"/>
                <w:szCs w:val="28"/>
              </w:rPr>
              <w:t xml:space="preserve">ПООБ 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препаратов с одним 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и тем же </w:t>
            </w:r>
            <w:r w:rsidR="00F527C1" w:rsidRPr="001E15CA">
              <w:rPr>
                <w:rFonts w:ascii="Times New Roman" w:hAnsi="Times New Roman" w:cs="Times New Roman"/>
                <w:sz w:val="28"/>
                <w:szCs w:val="28"/>
              </w:rPr>
              <w:t>МНН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>, каков оптимальный формат?</w:t>
            </w:r>
          </w:p>
        </w:tc>
        <w:tc>
          <w:tcPr>
            <w:tcW w:w="7938" w:type="dxa"/>
          </w:tcPr>
          <w:p w14:paraId="0F2ADE04" w14:textId="65C627D2" w:rsidR="00F527C1" w:rsidRPr="001E15CA" w:rsidRDefault="00FE2379" w:rsidP="009D5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Подача </w:t>
            </w:r>
            <w:r w:rsidR="009D5E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5EC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ержателем 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регистрационного удостоверения ПООБ в АИС </w:t>
            </w:r>
            <w:r w:rsidR="006A3C3D" w:rsidRPr="001E15CA">
              <w:rPr>
                <w:rFonts w:ascii="Times New Roman" w:hAnsi="Times New Roman" w:cs="Times New Roman"/>
                <w:sz w:val="28"/>
                <w:szCs w:val="28"/>
              </w:rPr>
              <w:t>Росздравнадзор</w:t>
            </w:r>
            <w:r w:rsidR="006A3C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должна осуществляться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РУ на препарат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0D5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1"/>
      <w:tr w:rsidR="00F527C1" w:rsidRPr="001E15CA" w14:paraId="3E00E792" w14:textId="77777777" w:rsidTr="001E15CA">
        <w:tc>
          <w:tcPr>
            <w:tcW w:w="1106" w:type="dxa"/>
          </w:tcPr>
          <w:p w14:paraId="19B2FC70" w14:textId="77777777" w:rsidR="00F527C1" w:rsidRPr="001E15CA" w:rsidRDefault="00FE2379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DB2"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5" w:type="dxa"/>
          </w:tcPr>
          <w:p w14:paraId="028B059F" w14:textId="4ED76359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ли регулярное обновление перечня подачи ПООБ со стороны </w:t>
            </w:r>
            <w:r w:rsidR="002D13A7" w:rsidRPr="001E15CA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</w:t>
            </w:r>
            <w:r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EURD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? Если ДРУ потребуется внести изменения в сроки подачи ПООБ после утверждения Перечня, каков порядок действий? Возможно ли использова</w:t>
            </w:r>
            <w:r w:rsidR="005C71C9" w:rsidRPr="001E15C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1E15C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pbrertimetable@roszdravnadzor.gov.ru</w:t>
              </w:r>
            </w:hyperlink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для корректировок перечня периодичности и сроков представления периодических обновляемых отчетов по безопасности лекарственных препаратов в случае обновлений </w:t>
            </w:r>
            <w:r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EURD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938" w:type="dxa"/>
          </w:tcPr>
          <w:p w14:paraId="2A634954" w14:textId="389EBEE2" w:rsidR="006B3CC4" w:rsidRPr="00735D8D" w:rsidRDefault="00735D8D" w:rsidP="007B2FB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7B2FB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</w:t>
            </w:r>
            <w:r w:rsidR="007B2FBD" w:rsidRPr="007B2FBD">
              <w:rPr>
                <w:rFonts w:ascii="Times New Roman" w:hAnsi="Times New Roman" w:cs="Times New Roman"/>
                <w:sz w:val="28"/>
                <w:szCs w:val="28"/>
              </w:rPr>
              <w:t>периодическое обновление</w:t>
            </w:r>
            <w:r w:rsidRPr="007B2F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CC4" w:rsidRPr="007B2FBD">
              <w:rPr>
                <w:rFonts w:ascii="Times New Roman" w:hAnsi="Times New Roman" w:cs="Times New Roman"/>
                <w:sz w:val="28"/>
                <w:szCs w:val="28"/>
              </w:rPr>
              <w:t xml:space="preserve">Для корректировки перечня со стороны ДРУ, необходимо направить письмо с обоснованием на адрес: </w:t>
            </w:r>
            <w:hyperlink r:id="rId14" w:history="1">
              <w:r w:rsidR="007B2FBD" w:rsidRPr="001E15CA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pbrertimetable@roszdravnadzor.gov.ru</w:t>
              </w:r>
            </w:hyperlink>
          </w:p>
        </w:tc>
      </w:tr>
      <w:tr w:rsidR="00F527C1" w:rsidRPr="001E15CA" w14:paraId="5074BCBD" w14:textId="77777777" w:rsidTr="001E15CA">
        <w:tc>
          <w:tcPr>
            <w:tcW w:w="16019" w:type="dxa"/>
            <w:gridSpan w:val="3"/>
          </w:tcPr>
          <w:p w14:paraId="43C0A488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t>Меры минимизации рисков</w:t>
            </w:r>
          </w:p>
        </w:tc>
      </w:tr>
      <w:tr w:rsidR="00F527C1" w:rsidRPr="001E15CA" w14:paraId="22D98871" w14:textId="77777777" w:rsidTr="001E15CA">
        <w:tc>
          <w:tcPr>
            <w:tcW w:w="1106" w:type="dxa"/>
          </w:tcPr>
          <w:p w14:paraId="29797581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DB2" w:rsidRPr="001E1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5" w:type="dxa"/>
          </w:tcPr>
          <w:p w14:paraId="339D9D59" w14:textId="77777777" w:rsidR="00F527C1" w:rsidRPr="00325AA2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AA2">
              <w:rPr>
                <w:rFonts w:ascii="Times New Roman" w:hAnsi="Times New Roman" w:cs="Times New Roman"/>
                <w:sz w:val="28"/>
                <w:szCs w:val="28"/>
              </w:rPr>
              <w:t xml:space="preserve">Просьба подтвердить, что дополнительные образовательные материалы, предусмотренные Планом управления рисками и согласованные с уполномоченными органами, не являются рекламой и могут размещаться на сайте компании в рубрике «для специалистов здравоохранения». Это поможет охватить большую аудиторию врачей в целях минимизации рисков. Распространение материалов в бумажном виде </w:t>
            </w:r>
            <w:r w:rsidRPr="0032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сильно ограничивает объем аудитории. Сейчас такие материалы не описаны в Законе о рекламе, и поэтому к ним может быть отношение как к рекламным со стороны проверяющих органов (ФАС, Роспотребнадзор и др.) </w:t>
            </w:r>
          </w:p>
        </w:tc>
        <w:tc>
          <w:tcPr>
            <w:tcW w:w="7938" w:type="dxa"/>
          </w:tcPr>
          <w:p w14:paraId="40AA1DBF" w14:textId="3FF8BF25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утверждении ПУР Росздравнадзор предоставляет </w:t>
            </w:r>
            <w:r w:rsidR="00C424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ержателю регистрационного удостоверения согласование, подтверждающее возможность распространения образовательных материалов для врачей и пациентов в соответствие с планом распространения, в том числе размещение на интернет-сайте ДРУ. </w:t>
            </w:r>
          </w:p>
          <w:p w14:paraId="59440DFD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BD" w:rsidRPr="007B2FBD" w14:paraId="18D14F18" w14:textId="77777777" w:rsidTr="001E15CA">
        <w:tc>
          <w:tcPr>
            <w:tcW w:w="1106" w:type="dxa"/>
          </w:tcPr>
          <w:p w14:paraId="0E540F40" w14:textId="77777777" w:rsidR="00325AA2" w:rsidRPr="007B2FBD" w:rsidRDefault="00325AA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BD">
              <w:rPr>
                <w:rFonts w:ascii="Times New Roman" w:eastAsia="Times New Roman" w:hAnsi="Times New Roman" w:cs="Times New Roman"/>
                <w:sz w:val="28"/>
                <w:szCs w:val="28"/>
                <w14:ligatures w14:val="standardContextual"/>
              </w:rPr>
              <w:lastRenderedPageBreak/>
              <w:t xml:space="preserve">24 </w:t>
            </w:r>
          </w:p>
        </w:tc>
        <w:tc>
          <w:tcPr>
            <w:tcW w:w="6975" w:type="dxa"/>
          </w:tcPr>
          <w:p w14:paraId="49D9C691" w14:textId="77777777" w:rsidR="00325AA2" w:rsidRPr="007B2FBD" w:rsidRDefault="00325AA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BD">
              <w:rPr>
                <w:rFonts w:ascii="Times New Roman" w:eastAsia="Times New Roman" w:hAnsi="Times New Roman" w:cs="Times New Roman"/>
                <w:sz w:val="28"/>
                <w:szCs w:val="28"/>
                <w14:ligatures w14:val="standardContextual"/>
              </w:rPr>
              <w:t xml:space="preserve">Какие ПУР необходимо предоставлять в Росздравнадзор? </w:t>
            </w:r>
          </w:p>
        </w:tc>
        <w:tc>
          <w:tcPr>
            <w:tcW w:w="7938" w:type="dxa"/>
          </w:tcPr>
          <w:p w14:paraId="42A38AFB" w14:textId="77777777" w:rsidR="006B13E0" w:rsidRPr="007B2FBD" w:rsidRDefault="006B13E0" w:rsidP="00325AA2"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 w:rsidRPr="007B2FBD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При наличии действующей версии ПУР, разработанной для стран ЕС, ПУР ЕАЭС должен разрабатываться на ее основе.</w:t>
            </w:r>
          </w:p>
          <w:p w14:paraId="1717A504" w14:textId="77777777" w:rsidR="00325AA2" w:rsidRPr="007B2FBD" w:rsidRDefault="00325AA2" w:rsidP="00325AA2"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 w:rsidRPr="007B2FBD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ПУР, содержащие дополнительные мероприятия по фармаконадзору / дополнительные меры по минимизации рисков, предоставляются совместно с описанием данных мероприятий / образовательными материалами, планом распространения.</w:t>
            </w:r>
          </w:p>
          <w:p w14:paraId="0122382A" w14:textId="479D1804" w:rsidR="006B13E0" w:rsidRPr="007B2FBD" w:rsidRDefault="0011226D" w:rsidP="00C97682">
            <w:pPr>
              <w:jc w:val="both"/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</w:pPr>
            <w:r w:rsidRPr="007B2FBD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ПУР, разработанные в рамках регистрационных процедур, представляются в Росздравнадзор после одобрения </w:t>
            </w:r>
            <w:r w:rsidR="00C97682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 xml:space="preserve">Минздрава </w:t>
            </w:r>
            <w:r w:rsidR="00C97682" w:rsidRPr="00C97682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Росси</w:t>
            </w:r>
            <w:r w:rsidR="00C97682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и</w:t>
            </w:r>
            <w:r w:rsidRPr="007B2FBD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.</w:t>
            </w:r>
          </w:p>
        </w:tc>
      </w:tr>
      <w:tr w:rsidR="00F527C1" w:rsidRPr="001E15CA" w14:paraId="24254FC9" w14:textId="77777777" w:rsidTr="001E15CA">
        <w:tc>
          <w:tcPr>
            <w:tcW w:w="1106" w:type="dxa"/>
          </w:tcPr>
          <w:p w14:paraId="30D4092A" w14:textId="77777777" w:rsidR="00F527C1" w:rsidRPr="00325AA2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AA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25AA2" w:rsidRPr="00325AA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75" w:type="dxa"/>
          </w:tcPr>
          <w:p w14:paraId="51704D23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Полный и подробный текст образовательных материалов (полный текст на русском языке с предлагаемым оформлением материалов) может не включаться в ПУР.</w:t>
            </w:r>
          </w:p>
          <w:p w14:paraId="5C4C14BD" w14:textId="380B3EA0" w:rsidR="00F527C1" w:rsidRPr="001E15CA" w:rsidRDefault="00F527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Нужно ли в таких случаях подавать в Росздравнадзор образовательные материалы для специалистов здравоохранения и пациентов (полный текст на русском языке с предлагаемым оформлением материалов) для согласования перед их распространением в </w:t>
            </w:r>
            <w:r w:rsidR="002D13A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2D13A7"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держателем регистрационного удостоверения? </w:t>
            </w:r>
          </w:p>
        </w:tc>
        <w:tc>
          <w:tcPr>
            <w:tcW w:w="7938" w:type="dxa"/>
          </w:tcPr>
          <w:p w14:paraId="6DC470B9" w14:textId="78B7BF37" w:rsidR="00F527C1" w:rsidRPr="001E15CA" w:rsidRDefault="00F527C1" w:rsidP="001A52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Все образовательные материалы в составе ПУР (включая одобренный </w:t>
            </w:r>
            <w:r w:rsidR="001A522D">
              <w:rPr>
                <w:rFonts w:ascii="Times New Roman" w:hAnsi="Times New Roman" w:cs="Times New Roman"/>
                <w:sz w:val="28"/>
                <w:szCs w:val="28"/>
              </w:rPr>
              <w:t>Минздравом России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) с сопроводительным письмом нужно подавать в Росздравнадзор через АИС для согласования. Отметка в системе АИС или официальное письмо Росздравнадзора являются подтверждением согласования образовательных материалов.</w:t>
            </w:r>
            <w:r w:rsidR="00405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обращаем внимание, что ПУР, одобренные в рамках внесения изменений в регистрационное досье, также следует подавать в АИС Росздравнадзора с отметкой «ПУР в рамках регистрации». В таком случае повторного согласования ПУР Росздравнадзором не требуется, однако, это нужно для получения </w:t>
            </w:r>
            <w:r w:rsidR="002D13A7" w:rsidRPr="002D13A7">
              <w:rPr>
                <w:rFonts w:ascii="Times New Roman" w:hAnsi="Times New Roman" w:cs="Times New Roman"/>
                <w:sz w:val="28"/>
                <w:szCs w:val="28"/>
              </w:rPr>
              <w:t>Росздравнадзор</w:t>
            </w:r>
            <w:r w:rsidR="002D13A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D13A7" w:rsidRPr="002D13A7" w:rsidDel="002D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полной информации о </w:t>
            </w:r>
            <w:r w:rsidR="000772FD">
              <w:rPr>
                <w:rFonts w:ascii="Times New Roman" w:hAnsi="Times New Roman" w:cs="Times New Roman"/>
                <w:sz w:val="28"/>
                <w:szCs w:val="28"/>
              </w:rPr>
              <w:t>лекарственном препарате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. Кроме того, при наличии дополнительных мероприятий по фармаконадзору, требующих согласования </w:t>
            </w:r>
            <w:r w:rsidR="002D13A7" w:rsidRPr="002D1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Росздравнадзора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, разрабатываемых в рамках ПУР, сам ПУР необходим для их анализа и оценки.</w:t>
            </w:r>
          </w:p>
        </w:tc>
      </w:tr>
      <w:tr w:rsidR="00F527C1" w:rsidRPr="001E15CA" w14:paraId="364F3E94" w14:textId="77777777" w:rsidTr="001E15CA">
        <w:tc>
          <w:tcPr>
            <w:tcW w:w="16019" w:type="dxa"/>
            <w:gridSpan w:val="3"/>
          </w:tcPr>
          <w:p w14:paraId="46729F1F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Требования к системе качества. УЛФ</w:t>
            </w:r>
          </w:p>
        </w:tc>
      </w:tr>
      <w:tr w:rsidR="00F527C1" w:rsidRPr="001E15CA" w14:paraId="635A3194" w14:textId="77777777" w:rsidTr="001E15CA">
        <w:tc>
          <w:tcPr>
            <w:tcW w:w="1106" w:type="dxa"/>
          </w:tcPr>
          <w:p w14:paraId="19209733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5" w:type="dxa"/>
          </w:tcPr>
          <w:p w14:paraId="1255346E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Возможно ли назначение заместителем Уполномоченного лица по фармаконадзору ЕАЭС (deputy EAEU QPPV) или заместителем Контактного лица на национальном уровне сотрудника – нерезидента стран-членов ЕАЭС? </w:t>
            </w:r>
          </w:p>
        </w:tc>
        <w:tc>
          <w:tcPr>
            <w:tcW w:w="7938" w:type="dxa"/>
          </w:tcPr>
          <w:p w14:paraId="69C91C93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Требования к Уполномоченным лицам по фармаконадзору ЕАЭС полностью применимы к его заместителю. </w:t>
            </w:r>
          </w:p>
        </w:tc>
      </w:tr>
      <w:tr w:rsidR="00F527C1" w:rsidRPr="001E15CA" w14:paraId="1DA51648" w14:textId="77777777" w:rsidTr="001E15CA">
        <w:tc>
          <w:tcPr>
            <w:tcW w:w="1106" w:type="dxa"/>
          </w:tcPr>
          <w:p w14:paraId="162CF67A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5" w:type="dxa"/>
          </w:tcPr>
          <w:p w14:paraId="55F85586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В случае если в компании функционирует общая система фармаконадзора на разных территориях, в том числе странах Европейского союза и ЕАЭС с ранее назначенным Уполномоченным лицом по фармаконадзору в единой системе, является ли назначение еще одного УФЛ в ЕАЭС отклонением от требований законодательства? </w:t>
            </w:r>
          </w:p>
        </w:tc>
        <w:tc>
          <w:tcPr>
            <w:tcW w:w="7938" w:type="dxa"/>
          </w:tcPr>
          <w:p w14:paraId="32F5E027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азначение УЛФ на территории ЕАЭС не является отклонением от требований законодательства, так как УЛФ ЕАЭС отвечает за систему фармаконадзора на территории ЕАЭС.</w:t>
            </w:r>
          </w:p>
        </w:tc>
      </w:tr>
      <w:tr w:rsidR="00F527C1" w:rsidRPr="001E15CA" w14:paraId="2966C45E" w14:textId="77777777" w:rsidTr="001E15CA">
        <w:tc>
          <w:tcPr>
            <w:tcW w:w="1106" w:type="dxa"/>
          </w:tcPr>
          <w:p w14:paraId="61548106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5" w:type="dxa"/>
          </w:tcPr>
          <w:p w14:paraId="01E6BE37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Необходимо ли подписывать сервисное соглашение о делегированных услугах по фармакобезопасности между штаб-квартирой, как Держателем регистрационного удостоверения, и aффилированным лицом на локальном уровне, если это аффилированное лицо является другим юридическим лицом, но входит в состав концерна держателя?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14:paraId="0C1C0133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Необходимо подписать соглашение о делегировании полномочий по фармаконадзору / разделении обязанностей по фармаконадзору на территории ЕАЭС между штаб-квартирой и филиалом компании или регулировать разделение обязанностей в рамках стандартных операционных процедур. Разделение обязанностей по фармаконадзору следует отразить в мастер-файле по фармаконадзору.</w:t>
            </w:r>
          </w:p>
        </w:tc>
      </w:tr>
      <w:tr w:rsidR="00F527C1" w:rsidRPr="001E15CA" w14:paraId="794FF3AE" w14:textId="77777777" w:rsidTr="001E15CA">
        <w:tc>
          <w:tcPr>
            <w:tcW w:w="1106" w:type="dxa"/>
          </w:tcPr>
          <w:p w14:paraId="66881584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5" w:type="dxa"/>
          </w:tcPr>
          <w:p w14:paraId="0DAE4F92" w14:textId="0BED05A4" w:rsidR="00F527C1" w:rsidRPr="001E15CA" w:rsidRDefault="00F527C1" w:rsidP="00C424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Необходимо ли локализовать процедуры (СОПы) штаб-квартиры (</w:t>
            </w:r>
            <w:r w:rsidR="00C4244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</w:t>
            </w: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ержателя регистрационного удостоверения) аффилированному лицу на локальном уровне, если это аффилированное лицо является другим юридическим лицом, но входит в состав концерна держателя РУ (держатель РУ – Учредитель локального юридического лица)? Будут ли считаться процедуры штаб-квартиры </w:t>
            </w: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 xml:space="preserve">достаточными при условии их соответствия требованиям законодательства ЕАЭС? </w:t>
            </w:r>
          </w:p>
        </w:tc>
        <w:tc>
          <w:tcPr>
            <w:tcW w:w="7938" w:type="dxa"/>
          </w:tcPr>
          <w:p w14:paraId="732F5154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Необходимости перерабатывать и внедрять процедуры штаб-квартиры филиалом компании нет, если разделение обязанностей между штаб-квартирой и филиалом четко прописано в соглашении между компаниями или в мастер-файле по фармаконадзору, и стандартные процедуры штаб-квартиры описывают локальную работу по фармаконадзору.</w:t>
            </w:r>
          </w:p>
        </w:tc>
      </w:tr>
      <w:tr w:rsidR="00F527C1" w:rsidRPr="001E15CA" w14:paraId="57D4ABAF" w14:textId="77777777" w:rsidTr="001E15CA">
        <w:tc>
          <w:tcPr>
            <w:tcW w:w="16019" w:type="dxa"/>
            <w:gridSpan w:val="3"/>
          </w:tcPr>
          <w:p w14:paraId="0B445745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Мастер-файл системы фармаконадзора</w:t>
            </w:r>
          </w:p>
        </w:tc>
      </w:tr>
      <w:tr w:rsidR="00F527C1" w:rsidRPr="001E15CA" w14:paraId="01EF5E71" w14:textId="77777777" w:rsidTr="001E15CA">
        <w:tc>
          <w:tcPr>
            <w:tcW w:w="1106" w:type="dxa"/>
          </w:tcPr>
          <w:p w14:paraId="14CB4C91" w14:textId="77777777" w:rsidR="00F527C1" w:rsidRPr="001E15CA" w:rsidRDefault="00325AA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5" w:type="dxa"/>
          </w:tcPr>
          <w:p w14:paraId="5645110B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ли поддержание и предоставление МФСФ, утвержденного в рамках </w:t>
            </w: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Европейского союза / глобального МФСФ,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по ЕАЭС? </w:t>
            </w:r>
          </w:p>
        </w:tc>
        <w:tc>
          <w:tcPr>
            <w:tcW w:w="7938" w:type="dxa"/>
          </w:tcPr>
          <w:p w14:paraId="32ABBFF1" w14:textId="17C2022C" w:rsidR="00F527C1" w:rsidRPr="001E15CA" w:rsidRDefault="00F527C1" w:rsidP="00C424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Да, если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МФСФ, утвержденный в рамках </w:t>
            </w: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Европейского союза / глобальный МФСФ,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соответствует требуемой структуре документа и отражает деятельность по фармаконадзору по всем зарегистрированным ЛП в государствах-членах ЕАЭС</w:t>
            </w: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. В МФСФ необходимо описать связь между </w:t>
            </w:r>
            <w:r w:rsidR="00C4244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</w:t>
            </w:r>
            <w:r w:rsidRPr="001E15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ержателем регистрационного удостоверения и локальным филиалом (возможно представить в приложении к МФСФ).  </w:t>
            </w:r>
          </w:p>
        </w:tc>
      </w:tr>
      <w:tr w:rsidR="00F527C1" w:rsidRPr="001E15CA" w14:paraId="5DA833BD" w14:textId="77777777" w:rsidTr="00325AA2">
        <w:trPr>
          <w:trHeight w:val="2400"/>
        </w:trPr>
        <w:tc>
          <w:tcPr>
            <w:tcW w:w="1106" w:type="dxa"/>
          </w:tcPr>
          <w:p w14:paraId="5706B904" w14:textId="77777777" w:rsidR="00F527C1" w:rsidRPr="001E15CA" w:rsidRDefault="00CA0DB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5" w:type="dxa"/>
          </w:tcPr>
          <w:p w14:paraId="37F4AF7D" w14:textId="77777777" w:rsidR="006F47F0" w:rsidRDefault="00F527C1" w:rsidP="00325AA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5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 написании МФСФ по правилам НПФ ЕАЭС: </w:t>
            </w:r>
          </w:p>
          <w:p w14:paraId="40FD2182" w14:textId="77777777" w:rsidR="00F527C1" w:rsidRPr="001E15CA" w:rsidRDefault="004058CA" w:rsidP="00325AA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r w:rsidR="00F527C1" w:rsidRPr="001E15C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нужно ли готовить единый мастер-файл на 5 стран или только на Россию? </w:t>
            </w:r>
          </w:p>
          <w:p w14:paraId="49FB3C90" w14:textId="77777777" w:rsidR="00F527C1" w:rsidRPr="001E15CA" w:rsidRDefault="004058CA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 м</w:t>
            </w:r>
            <w:r w:rsidR="00F527C1" w:rsidRPr="001E15CA">
              <w:rPr>
                <w:rFonts w:ascii="Times New Roman" w:eastAsiaTheme="minorHAnsi" w:hAnsi="Times New Roman" w:cs="Times New Roman"/>
                <w:sz w:val="28"/>
                <w:szCs w:val="28"/>
              </w:rPr>
              <w:t>ожно ли включать в мастер-файл другие страны, находящиеся в ответственности представительства, но не входящие в ЕАЭС?</w:t>
            </w:r>
          </w:p>
        </w:tc>
        <w:tc>
          <w:tcPr>
            <w:tcW w:w="7938" w:type="dxa"/>
          </w:tcPr>
          <w:p w14:paraId="464F2CF7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Возможны различные варианты. Важно, чтобы МФСФ содержал информацию о функционировании системы фармаконадзора в рамках ЕАЭС.</w:t>
            </w:r>
          </w:p>
          <w:p w14:paraId="667CD299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МФСФ может содержать информацию по другим странам, если он описывает одну систему ФН с одним УЛФ.</w:t>
            </w:r>
          </w:p>
        </w:tc>
      </w:tr>
      <w:tr w:rsidR="00F527C1" w:rsidRPr="001E15CA" w14:paraId="59346898" w14:textId="77777777" w:rsidTr="001E15CA">
        <w:tc>
          <w:tcPr>
            <w:tcW w:w="16019" w:type="dxa"/>
            <w:gridSpan w:val="3"/>
          </w:tcPr>
          <w:p w14:paraId="18D5B2AD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Сигналы. Экстренные проблемы по безопасности</w:t>
            </w:r>
          </w:p>
        </w:tc>
      </w:tr>
      <w:tr w:rsidR="00F527C1" w:rsidRPr="001E15CA" w14:paraId="7D1930F1" w14:textId="77777777" w:rsidTr="001E15CA">
        <w:tc>
          <w:tcPr>
            <w:tcW w:w="1106" w:type="dxa"/>
          </w:tcPr>
          <w:p w14:paraId="4A9D6F94" w14:textId="77777777" w:rsidR="00F527C1" w:rsidRPr="001E15CA" w:rsidRDefault="00CA0DB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5" w:type="dxa"/>
          </w:tcPr>
          <w:p w14:paraId="14CE4ADF" w14:textId="14595031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Согласно требованиям пункта 490 НПФ: В обязанности держателя регистрационного удостоверения в период между подачей заявления на регистрацию и получением регистрационного удостоверения</w:t>
            </w: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входит обеспечение незамедлительного представления информации по качеству, клиническим или доклиническим данным, изменяющей соотношение «польза – риск» лекарственного </w:t>
            </w:r>
            <w:r w:rsidRPr="001E15CA">
              <w:rPr>
                <w:rStyle w:val="FontStyle38"/>
                <w:rFonts w:ascii="Times New Roman" w:hAnsi="Times New Roman" w:cs="Times New Roman"/>
                <w:b w:val="0"/>
                <w:bCs w:val="0"/>
                <w:kern w:val="30"/>
                <w:sz w:val="28"/>
                <w:szCs w:val="28"/>
              </w:rPr>
              <w:t>препарат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уполномоченному органу государства-члена, который проводит экспертизу и регистрацию лекарственного препарата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1B1923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Процедура предоставления дополнительной информации в ходе регистрации не предусмотрена. По какой процедуре должна предоставляться информация? </w:t>
            </w:r>
          </w:p>
          <w:p w14:paraId="2FA04289" w14:textId="4F67B526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В какой орган и в каком формате подавать информацию </w:t>
            </w:r>
            <w:r w:rsidR="002D13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3A7" w:rsidRPr="001E15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13A7">
              <w:rPr>
                <w:rFonts w:ascii="Times New Roman" w:hAnsi="Times New Roman" w:cs="Times New Roman"/>
                <w:sz w:val="28"/>
                <w:szCs w:val="28"/>
              </w:rPr>
              <w:t xml:space="preserve">инздрав 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или в </w:t>
            </w:r>
            <w:r w:rsidR="002D13A7" w:rsidRPr="002D13A7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2254E0C" w14:textId="589D552F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При этом срочные сообщения (зарубежные) в этот период должны подаваться в </w:t>
            </w:r>
            <w:r w:rsidR="002D13A7">
              <w:rPr>
                <w:rFonts w:ascii="Times New Roman" w:hAnsi="Times New Roman" w:cs="Times New Roman"/>
                <w:sz w:val="28"/>
                <w:szCs w:val="28"/>
              </w:rPr>
              <w:t>Росздравнадзор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2FF8C0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Как будет осуществляться взаимодействие между двумя ведомствами в период регистрации? </w:t>
            </w:r>
          </w:p>
        </w:tc>
        <w:tc>
          <w:tcPr>
            <w:tcW w:w="7938" w:type="dxa"/>
          </w:tcPr>
          <w:p w14:paraId="3766C826" w14:textId="4CB329A7" w:rsidR="00F527C1" w:rsidRPr="001E15CA" w:rsidRDefault="00F527C1" w:rsidP="00C976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Следует предоставлять данную информацию в виде информационного письма в 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Минзд</w:t>
            </w:r>
            <w:r w:rsidR="000532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97682">
              <w:rPr>
                <w:rFonts w:ascii="Times New Roman" w:hAnsi="Times New Roman" w:cs="Times New Roman"/>
                <w:sz w:val="28"/>
                <w:szCs w:val="28"/>
              </w:rPr>
              <w:t>ав России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27C1" w:rsidRPr="001E15CA" w14:paraId="68F30682" w14:textId="77777777" w:rsidTr="001E15CA">
        <w:tc>
          <w:tcPr>
            <w:tcW w:w="16019" w:type="dxa"/>
            <w:gridSpan w:val="3"/>
          </w:tcPr>
          <w:p w14:paraId="4A779745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Непосредственное обращение к работникам здравоохранения и информационные письма</w:t>
            </w:r>
          </w:p>
        </w:tc>
      </w:tr>
      <w:tr w:rsidR="00F527C1" w:rsidRPr="001E15CA" w14:paraId="26098986" w14:textId="77777777" w:rsidTr="001E15CA">
        <w:tc>
          <w:tcPr>
            <w:tcW w:w="1106" w:type="dxa"/>
          </w:tcPr>
          <w:p w14:paraId="4E4D9E44" w14:textId="77777777" w:rsidR="00F527C1" w:rsidRPr="001E15CA" w:rsidRDefault="00CA0DB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5" w:type="dxa"/>
          </w:tcPr>
          <w:p w14:paraId="12BD65E8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Каковы требования в отношении одобрения уполномоченным органом и распространения непосредственного обращения к специалистам здравоохранения с информацией в отношении безопасности лекарственных препаратов?</w:t>
            </w:r>
          </w:p>
        </w:tc>
        <w:tc>
          <w:tcPr>
            <w:tcW w:w="7938" w:type="dxa"/>
          </w:tcPr>
          <w:p w14:paraId="06FB2889" w14:textId="77777777" w:rsidR="004058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 xml:space="preserve">При направлении в Росздравнадзор этих материалов держатель регистрационного удостоверения должен указывать планируемые сроки, способы распространения материалов и целевую аудиторию. </w:t>
            </w:r>
          </w:p>
          <w:p w14:paraId="6C4ECC89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Публикация на сайте Росздравнадзора информационного письма означает его согласование со стороны Росздравнадзора.</w:t>
            </w:r>
          </w:p>
        </w:tc>
      </w:tr>
      <w:tr w:rsidR="00F527C1" w:rsidRPr="001E15CA" w14:paraId="7629DCB6" w14:textId="77777777" w:rsidTr="001E15CA">
        <w:tc>
          <w:tcPr>
            <w:tcW w:w="16019" w:type="dxa"/>
            <w:gridSpan w:val="3"/>
          </w:tcPr>
          <w:p w14:paraId="56EDA6EE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</w:tr>
      <w:tr w:rsidR="00F527C1" w:rsidRPr="001E15CA" w14:paraId="2D1384E7" w14:textId="77777777" w:rsidTr="001E15CA">
        <w:tc>
          <w:tcPr>
            <w:tcW w:w="1106" w:type="dxa"/>
          </w:tcPr>
          <w:p w14:paraId="3F0533AB" w14:textId="77777777" w:rsidR="00F527C1" w:rsidRPr="001E15CA" w:rsidRDefault="00CA0DB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5" w:type="dxa"/>
          </w:tcPr>
          <w:p w14:paraId="459C0335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национальной системы сообщения о нежелательных реакциях лекарственных препаратов соответствующего государства - члена Евразийского экономического союза (п. 4.8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применения, утвержденные решением Совета Евразийской экономической комиссии от 03.11.2016 № 88.</w:t>
            </w:r>
          </w:p>
        </w:tc>
        <w:tc>
          <w:tcPr>
            <w:tcW w:w="7938" w:type="dxa"/>
          </w:tcPr>
          <w:p w14:paraId="0D33EB2A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Адрес: 109012, Москва, Славянская площадь, д.4, стр.1</w:t>
            </w:r>
          </w:p>
          <w:p w14:paraId="1BD154BF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Телефон: +7 800 550 99 03</w:t>
            </w:r>
          </w:p>
          <w:p w14:paraId="48ACD67D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Факс: -</w:t>
            </w: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9AD4E9B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Эл. почта: pharm@roszdravnadzor.gov.ru</w:t>
            </w:r>
          </w:p>
          <w:p w14:paraId="78AD57F0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t>Сайт: https://www.roszdravnadzor.gov.ru</w:t>
            </w:r>
          </w:p>
        </w:tc>
      </w:tr>
      <w:tr w:rsidR="00F527C1" w:rsidRPr="001E15CA" w14:paraId="05E9F020" w14:textId="77777777" w:rsidTr="001E15CA">
        <w:tc>
          <w:tcPr>
            <w:tcW w:w="1106" w:type="dxa"/>
          </w:tcPr>
          <w:p w14:paraId="60DE6F5A" w14:textId="77777777" w:rsidR="00F527C1" w:rsidRPr="001E15CA" w:rsidRDefault="00CA0DB2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25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5" w:type="dxa"/>
          </w:tcPr>
          <w:p w14:paraId="5062BCF1" w14:textId="26D9D8DF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Требуется ли обновление адреса электронной почты </w:t>
            </w:r>
            <w:r w:rsidR="002D13A7" w:rsidRPr="002D13A7">
              <w:rPr>
                <w:rFonts w:ascii="Times New Roman" w:hAnsi="Times New Roman" w:cs="Times New Roman"/>
                <w:bCs/>
                <w:sz w:val="28"/>
                <w:szCs w:val="28"/>
              </w:rPr>
              <w:t>Росздравнадзора</w:t>
            </w:r>
            <w:r w:rsidRPr="001E15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hyperlink r:id="rId15" w:history="1">
              <w:r w:rsidRPr="001E15CA">
                <w:rPr>
                  <w:rStyle w:val="af0"/>
                  <w:rFonts w:ascii="Times New Roman" w:hAnsi="Times New Roman" w:cs="Times New Roman"/>
                  <w:bCs/>
                  <w:sz w:val="28"/>
                  <w:szCs w:val="28"/>
                </w:rPr>
                <w:t>npr@roszdravnadzor.gov.ru</w:t>
              </w:r>
            </w:hyperlink>
            <w:r w:rsidRPr="001E15CA">
              <w:rPr>
                <w:rFonts w:ascii="Times New Roman" w:hAnsi="Times New Roman" w:cs="Times New Roman"/>
                <w:bCs/>
                <w:sz w:val="28"/>
                <w:szCs w:val="28"/>
              </w:rPr>
              <w:t>) в ОХЛП / листке вкладыше для направления сообщений по безопасности пациентами, медицинскими организациями, специалистами здравоохранения? (пункт 10 Приказа № 3518).</w:t>
            </w:r>
          </w:p>
        </w:tc>
        <w:tc>
          <w:tcPr>
            <w:tcW w:w="7938" w:type="dxa"/>
          </w:tcPr>
          <w:p w14:paraId="76F73CF1" w14:textId="77777777" w:rsidR="00F527C1" w:rsidRPr="001E15CA" w:rsidRDefault="00F527C1" w:rsidP="00325A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CA">
              <w:rPr>
                <w:rFonts w:ascii="Times New Roman" w:hAnsi="Times New Roman" w:cs="Times New Roman"/>
                <w:bCs/>
                <w:sz w:val="28"/>
                <w:szCs w:val="28"/>
              </w:rPr>
              <w:t>Добавлять новый адрес в ОХЛП / листок вкладыш необходимо при плановых внесениях изменений.</w:t>
            </w:r>
          </w:p>
        </w:tc>
      </w:tr>
    </w:tbl>
    <w:p w14:paraId="7AADB7CA" w14:textId="77777777" w:rsidR="007B2544" w:rsidRPr="0037042E" w:rsidRDefault="007B2544" w:rsidP="004058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2544" w:rsidRPr="0037042E" w:rsidSect="001E15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AFF05B" w16cex:dateUtc="2025-05-13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D47981" w16cid:durableId="00AFF0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9FE41" w14:textId="77777777" w:rsidR="00DA051E" w:rsidRDefault="00DA051E" w:rsidP="003D490A">
      <w:pPr>
        <w:spacing w:after="0" w:line="240" w:lineRule="auto"/>
      </w:pPr>
      <w:r>
        <w:separator/>
      </w:r>
    </w:p>
  </w:endnote>
  <w:endnote w:type="continuationSeparator" w:id="0">
    <w:p w14:paraId="535D4D38" w14:textId="77777777" w:rsidR="00DA051E" w:rsidRDefault="00DA051E" w:rsidP="003D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1EF9" w14:textId="77777777" w:rsidR="00DA051E" w:rsidRDefault="00DA051E" w:rsidP="003D490A">
      <w:pPr>
        <w:spacing w:after="0" w:line="240" w:lineRule="auto"/>
      </w:pPr>
      <w:r>
        <w:separator/>
      </w:r>
    </w:p>
  </w:footnote>
  <w:footnote w:type="continuationSeparator" w:id="0">
    <w:p w14:paraId="34240367" w14:textId="77777777" w:rsidR="00DA051E" w:rsidRDefault="00DA051E" w:rsidP="003D4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188F"/>
    <w:multiLevelType w:val="hybridMultilevel"/>
    <w:tmpl w:val="2222B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16C"/>
    <w:multiLevelType w:val="hybridMultilevel"/>
    <w:tmpl w:val="EF2C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040DB"/>
    <w:multiLevelType w:val="hybridMultilevel"/>
    <w:tmpl w:val="B666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A0A5B"/>
    <w:multiLevelType w:val="hybridMultilevel"/>
    <w:tmpl w:val="3A923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F5111"/>
    <w:multiLevelType w:val="hybridMultilevel"/>
    <w:tmpl w:val="0632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37652"/>
    <w:multiLevelType w:val="hybridMultilevel"/>
    <w:tmpl w:val="2222B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36CF"/>
    <w:multiLevelType w:val="hybridMultilevel"/>
    <w:tmpl w:val="AC28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30485"/>
    <w:multiLevelType w:val="hybridMultilevel"/>
    <w:tmpl w:val="49C2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9562A"/>
    <w:multiLevelType w:val="hybridMultilevel"/>
    <w:tmpl w:val="2222B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30"/>
    <w:rsid w:val="0000030A"/>
    <w:rsid w:val="00003D14"/>
    <w:rsid w:val="00013541"/>
    <w:rsid w:val="00020678"/>
    <w:rsid w:val="000216D0"/>
    <w:rsid w:val="00022E67"/>
    <w:rsid w:val="00023943"/>
    <w:rsid w:val="000330D0"/>
    <w:rsid w:val="00033F6E"/>
    <w:rsid w:val="00036DBD"/>
    <w:rsid w:val="00045B62"/>
    <w:rsid w:val="00051767"/>
    <w:rsid w:val="0005322D"/>
    <w:rsid w:val="000536AF"/>
    <w:rsid w:val="000538E2"/>
    <w:rsid w:val="000543A2"/>
    <w:rsid w:val="00055BF6"/>
    <w:rsid w:val="00055DD9"/>
    <w:rsid w:val="000577AB"/>
    <w:rsid w:val="0006024A"/>
    <w:rsid w:val="00064C92"/>
    <w:rsid w:val="00065BA2"/>
    <w:rsid w:val="000676F0"/>
    <w:rsid w:val="00070E91"/>
    <w:rsid w:val="000772FD"/>
    <w:rsid w:val="00084121"/>
    <w:rsid w:val="00090A0D"/>
    <w:rsid w:val="000929ED"/>
    <w:rsid w:val="000974EC"/>
    <w:rsid w:val="000A49D3"/>
    <w:rsid w:val="000A50D5"/>
    <w:rsid w:val="000A53C4"/>
    <w:rsid w:val="000A5B97"/>
    <w:rsid w:val="000A695E"/>
    <w:rsid w:val="000B0428"/>
    <w:rsid w:val="000B1287"/>
    <w:rsid w:val="000C3573"/>
    <w:rsid w:val="000D0429"/>
    <w:rsid w:val="000D198E"/>
    <w:rsid w:val="000D2885"/>
    <w:rsid w:val="000D3186"/>
    <w:rsid w:val="000E0A16"/>
    <w:rsid w:val="000E510B"/>
    <w:rsid w:val="000E67E1"/>
    <w:rsid w:val="000F0E4C"/>
    <w:rsid w:val="000F334F"/>
    <w:rsid w:val="000F58F1"/>
    <w:rsid w:val="000F6F03"/>
    <w:rsid w:val="000F7985"/>
    <w:rsid w:val="00105F9B"/>
    <w:rsid w:val="00111182"/>
    <w:rsid w:val="0011226D"/>
    <w:rsid w:val="001132E4"/>
    <w:rsid w:val="00113724"/>
    <w:rsid w:val="00114195"/>
    <w:rsid w:val="001145C2"/>
    <w:rsid w:val="00115E35"/>
    <w:rsid w:val="0012234C"/>
    <w:rsid w:val="00124AD5"/>
    <w:rsid w:val="00126434"/>
    <w:rsid w:val="00135D7C"/>
    <w:rsid w:val="0013744E"/>
    <w:rsid w:val="001440A9"/>
    <w:rsid w:val="001459E9"/>
    <w:rsid w:val="001474DA"/>
    <w:rsid w:val="00154E30"/>
    <w:rsid w:val="00154E86"/>
    <w:rsid w:val="00157374"/>
    <w:rsid w:val="00157B4C"/>
    <w:rsid w:val="001602E3"/>
    <w:rsid w:val="00162C04"/>
    <w:rsid w:val="00170D11"/>
    <w:rsid w:val="00175952"/>
    <w:rsid w:val="00175F35"/>
    <w:rsid w:val="0018529F"/>
    <w:rsid w:val="00186495"/>
    <w:rsid w:val="00186D66"/>
    <w:rsid w:val="00187CFE"/>
    <w:rsid w:val="00191493"/>
    <w:rsid w:val="00192D5A"/>
    <w:rsid w:val="001934E9"/>
    <w:rsid w:val="00194F3F"/>
    <w:rsid w:val="00195300"/>
    <w:rsid w:val="00195E1C"/>
    <w:rsid w:val="00196A3C"/>
    <w:rsid w:val="001A2D76"/>
    <w:rsid w:val="001A39D2"/>
    <w:rsid w:val="001A522D"/>
    <w:rsid w:val="001B184E"/>
    <w:rsid w:val="001B2959"/>
    <w:rsid w:val="001B5549"/>
    <w:rsid w:val="001C71E3"/>
    <w:rsid w:val="001C73F0"/>
    <w:rsid w:val="001D2E3A"/>
    <w:rsid w:val="001D6C9F"/>
    <w:rsid w:val="001D6E06"/>
    <w:rsid w:val="001E15CA"/>
    <w:rsid w:val="001F1BFD"/>
    <w:rsid w:val="001F1D22"/>
    <w:rsid w:val="001F7F6F"/>
    <w:rsid w:val="0020235E"/>
    <w:rsid w:val="00203D91"/>
    <w:rsid w:val="0021165E"/>
    <w:rsid w:val="00215593"/>
    <w:rsid w:val="00217506"/>
    <w:rsid w:val="00217F4D"/>
    <w:rsid w:val="002221D7"/>
    <w:rsid w:val="00224C23"/>
    <w:rsid w:val="00232286"/>
    <w:rsid w:val="0024247A"/>
    <w:rsid w:val="002547EE"/>
    <w:rsid w:val="00254811"/>
    <w:rsid w:val="002564A0"/>
    <w:rsid w:val="00257D8E"/>
    <w:rsid w:val="00257E08"/>
    <w:rsid w:val="00261748"/>
    <w:rsid w:val="002639FD"/>
    <w:rsid w:val="00263DA2"/>
    <w:rsid w:val="00271027"/>
    <w:rsid w:val="00271578"/>
    <w:rsid w:val="00273AAE"/>
    <w:rsid w:val="0028037E"/>
    <w:rsid w:val="00281245"/>
    <w:rsid w:val="002823EA"/>
    <w:rsid w:val="0028453D"/>
    <w:rsid w:val="0028554F"/>
    <w:rsid w:val="002917FA"/>
    <w:rsid w:val="00292EE6"/>
    <w:rsid w:val="00293A3E"/>
    <w:rsid w:val="002955EC"/>
    <w:rsid w:val="00297EDB"/>
    <w:rsid w:val="002A3C9C"/>
    <w:rsid w:val="002C0F46"/>
    <w:rsid w:val="002C3104"/>
    <w:rsid w:val="002C33D9"/>
    <w:rsid w:val="002D0A0B"/>
    <w:rsid w:val="002D13A7"/>
    <w:rsid w:val="002F45E1"/>
    <w:rsid w:val="002F7CBD"/>
    <w:rsid w:val="003025C0"/>
    <w:rsid w:val="00303483"/>
    <w:rsid w:val="00304428"/>
    <w:rsid w:val="00315323"/>
    <w:rsid w:val="00322A1C"/>
    <w:rsid w:val="00325AA2"/>
    <w:rsid w:val="00326733"/>
    <w:rsid w:val="0034193F"/>
    <w:rsid w:val="00341F90"/>
    <w:rsid w:val="00345FA1"/>
    <w:rsid w:val="00347862"/>
    <w:rsid w:val="00357979"/>
    <w:rsid w:val="00363B4F"/>
    <w:rsid w:val="00365AF0"/>
    <w:rsid w:val="0037042E"/>
    <w:rsid w:val="0037127D"/>
    <w:rsid w:val="00371290"/>
    <w:rsid w:val="0038463B"/>
    <w:rsid w:val="00386501"/>
    <w:rsid w:val="00390FAD"/>
    <w:rsid w:val="00396995"/>
    <w:rsid w:val="00397F6A"/>
    <w:rsid w:val="003A1889"/>
    <w:rsid w:val="003A1F6A"/>
    <w:rsid w:val="003A635E"/>
    <w:rsid w:val="003A67C3"/>
    <w:rsid w:val="003B4DD2"/>
    <w:rsid w:val="003C07B7"/>
    <w:rsid w:val="003C08D8"/>
    <w:rsid w:val="003C36AA"/>
    <w:rsid w:val="003C4098"/>
    <w:rsid w:val="003C5ADC"/>
    <w:rsid w:val="003C7D25"/>
    <w:rsid w:val="003C7D58"/>
    <w:rsid w:val="003D490A"/>
    <w:rsid w:val="003D64B5"/>
    <w:rsid w:val="003E16A9"/>
    <w:rsid w:val="003E1E48"/>
    <w:rsid w:val="003E5E54"/>
    <w:rsid w:val="003F534D"/>
    <w:rsid w:val="004007FA"/>
    <w:rsid w:val="00400CE5"/>
    <w:rsid w:val="00401655"/>
    <w:rsid w:val="004031E9"/>
    <w:rsid w:val="004058CA"/>
    <w:rsid w:val="0040737A"/>
    <w:rsid w:val="00416960"/>
    <w:rsid w:val="004209B7"/>
    <w:rsid w:val="00426DCF"/>
    <w:rsid w:val="00427340"/>
    <w:rsid w:val="0043037B"/>
    <w:rsid w:val="00437AFD"/>
    <w:rsid w:val="00443C5D"/>
    <w:rsid w:val="004452AC"/>
    <w:rsid w:val="0045381A"/>
    <w:rsid w:val="00462C1D"/>
    <w:rsid w:val="0046342E"/>
    <w:rsid w:val="0047265A"/>
    <w:rsid w:val="00472C29"/>
    <w:rsid w:val="00483C69"/>
    <w:rsid w:val="00486E10"/>
    <w:rsid w:val="00492B99"/>
    <w:rsid w:val="00495E14"/>
    <w:rsid w:val="00497C8B"/>
    <w:rsid w:val="004A06F6"/>
    <w:rsid w:val="004A26D6"/>
    <w:rsid w:val="004B1BE7"/>
    <w:rsid w:val="004C58A5"/>
    <w:rsid w:val="004E438B"/>
    <w:rsid w:val="004E6F3A"/>
    <w:rsid w:val="004E7D83"/>
    <w:rsid w:val="004F49D9"/>
    <w:rsid w:val="00501DE4"/>
    <w:rsid w:val="00510AE0"/>
    <w:rsid w:val="00513EAB"/>
    <w:rsid w:val="00515B2E"/>
    <w:rsid w:val="005168C5"/>
    <w:rsid w:val="00520DCB"/>
    <w:rsid w:val="0053030C"/>
    <w:rsid w:val="0053089F"/>
    <w:rsid w:val="0053166F"/>
    <w:rsid w:val="00531EC3"/>
    <w:rsid w:val="00532B3A"/>
    <w:rsid w:val="005437A0"/>
    <w:rsid w:val="00554D8B"/>
    <w:rsid w:val="00556C2F"/>
    <w:rsid w:val="00562EEE"/>
    <w:rsid w:val="00573F03"/>
    <w:rsid w:val="0058408E"/>
    <w:rsid w:val="005847DA"/>
    <w:rsid w:val="00585F76"/>
    <w:rsid w:val="00592D23"/>
    <w:rsid w:val="005A09DE"/>
    <w:rsid w:val="005A156A"/>
    <w:rsid w:val="005A2999"/>
    <w:rsid w:val="005A5E8D"/>
    <w:rsid w:val="005A6900"/>
    <w:rsid w:val="005A6CA8"/>
    <w:rsid w:val="005B5B78"/>
    <w:rsid w:val="005B6D7E"/>
    <w:rsid w:val="005B7B91"/>
    <w:rsid w:val="005C25D2"/>
    <w:rsid w:val="005C4FF1"/>
    <w:rsid w:val="005C71C9"/>
    <w:rsid w:val="005C7E4F"/>
    <w:rsid w:val="005D5057"/>
    <w:rsid w:val="005D7022"/>
    <w:rsid w:val="005D763E"/>
    <w:rsid w:val="005E4097"/>
    <w:rsid w:val="005F2FA3"/>
    <w:rsid w:val="00605694"/>
    <w:rsid w:val="00610E80"/>
    <w:rsid w:val="0061476F"/>
    <w:rsid w:val="0062064C"/>
    <w:rsid w:val="006243B7"/>
    <w:rsid w:val="006312FF"/>
    <w:rsid w:val="0063159B"/>
    <w:rsid w:val="00633D90"/>
    <w:rsid w:val="00635135"/>
    <w:rsid w:val="00640730"/>
    <w:rsid w:val="00642052"/>
    <w:rsid w:val="0064726C"/>
    <w:rsid w:val="006508BB"/>
    <w:rsid w:val="00653172"/>
    <w:rsid w:val="00654B6A"/>
    <w:rsid w:val="00655485"/>
    <w:rsid w:val="0066029B"/>
    <w:rsid w:val="006618A5"/>
    <w:rsid w:val="00673964"/>
    <w:rsid w:val="00680F81"/>
    <w:rsid w:val="00685A65"/>
    <w:rsid w:val="00691601"/>
    <w:rsid w:val="00691B2A"/>
    <w:rsid w:val="006941F2"/>
    <w:rsid w:val="006A3C3D"/>
    <w:rsid w:val="006B053D"/>
    <w:rsid w:val="006B13E0"/>
    <w:rsid w:val="006B3CC4"/>
    <w:rsid w:val="006B53B5"/>
    <w:rsid w:val="006B5F0D"/>
    <w:rsid w:val="006B724E"/>
    <w:rsid w:val="006C1378"/>
    <w:rsid w:val="006C1A97"/>
    <w:rsid w:val="006C3D7C"/>
    <w:rsid w:val="006D612B"/>
    <w:rsid w:val="006E1E33"/>
    <w:rsid w:val="006E446B"/>
    <w:rsid w:val="006F47F0"/>
    <w:rsid w:val="0070330F"/>
    <w:rsid w:val="00704D32"/>
    <w:rsid w:val="00705AA9"/>
    <w:rsid w:val="00717B6B"/>
    <w:rsid w:val="00725EE0"/>
    <w:rsid w:val="00735D8D"/>
    <w:rsid w:val="00744DAD"/>
    <w:rsid w:val="0074538F"/>
    <w:rsid w:val="00770B4C"/>
    <w:rsid w:val="00774ED4"/>
    <w:rsid w:val="00775488"/>
    <w:rsid w:val="00790302"/>
    <w:rsid w:val="007912C9"/>
    <w:rsid w:val="00792D33"/>
    <w:rsid w:val="00793162"/>
    <w:rsid w:val="00793CC8"/>
    <w:rsid w:val="00797C4C"/>
    <w:rsid w:val="007A31A1"/>
    <w:rsid w:val="007A4EB5"/>
    <w:rsid w:val="007B10C4"/>
    <w:rsid w:val="007B2544"/>
    <w:rsid w:val="007B2FBD"/>
    <w:rsid w:val="007B6A87"/>
    <w:rsid w:val="007C0ADC"/>
    <w:rsid w:val="007D1425"/>
    <w:rsid w:val="007D5773"/>
    <w:rsid w:val="007E1014"/>
    <w:rsid w:val="007E3C7E"/>
    <w:rsid w:val="007E743A"/>
    <w:rsid w:val="007F43F8"/>
    <w:rsid w:val="00804CFF"/>
    <w:rsid w:val="00805034"/>
    <w:rsid w:val="0081587C"/>
    <w:rsid w:val="008229FE"/>
    <w:rsid w:val="00830A26"/>
    <w:rsid w:val="008326CC"/>
    <w:rsid w:val="00833235"/>
    <w:rsid w:val="008351B5"/>
    <w:rsid w:val="008351CE"/>
    <w:rsid w:val="00835596"/>
    <w:rsid w:val="00836F6D"/>
    <w:rsid w:val="00837DE4"/>
    <w:rsid w:val="008439C4"/>
    <w:rsid w:val="00852380"/>
    <w:rsid w:val="00862047"/>
    <w:rsid w:val="00862D2E"/>
    <w:rsid w:val="00873C2F"/>
    <w:rsid w:val="00891726"/>
    <w:rsid w:val="00892250"/>
    <w:rsid w:val="008A00A3"/>
    <w:rsid w:val="008A1FB2"/>
    <w:rsid w:val="008B03CA"/>
    <w:rsid w:val="008B1A1D"/>
    <w:rsid w:val="008B60B0"/>
    <w:rsid w:val="008D029B"/>
    <w:rsid w:val="008D1647"/>
    <w:rsid w:val="008D550E"/>
    <w:rsid w:val="008D5CFF"/>
    <w:rsid w:val="008D60AD"/>
    <w:rsid w:val="008E1838"/>
    <w:rsid w:val="008E7BCB"/>
    <w:rsid w:val="008E7FA2"/>
    <w:rsid w:val="008F6518"/>
    <w:rsid w:val="0090310E"/>
    <w:rsid w:val="009057FD"/>
    <w:rsid w:val="0091338E"/>
    <w:rsid w:val="00915464"/>
    <w:rsid w:val="00916319"/>
    <w:rsid w:val="009205D3"/>
    <w:rsid w:val="00920F01"/>
    <w:rsid w:val="00920FEB"/>
    <w:rsid w:val="00922B5D"/>
    <w:rsid w:val="00927653"/>
    <w:rsid w:val="00931035"/>
    <w:rsid w:val="00932FAE"/>
    <w:rsid w:val="00944827"/>
    <w:rsid w:val="009463E9"/>
    <w:rsid w:val="00952096"/>
    <w:rsid w:val="00953363"/>
    <w:rsid w:val="00963E53"/>
    <w:rsid w:val="0096508B"/>
    <w:rsid w:val="00971381"/>
    <w:rsid w:val="009719AC"/>
    <w:rsid w:val="00973570"/>
    <w:rsid w:val="0097634F"/>
    <w:rsid w:val="00985245"/>
    <w:rsid w:val="00991634"/>
    <w:rsid w:val="0099300E"/>
    <w:rsid w:val="00995148"/>
    <w:rsid w:val="00995E9F"/>
    <w:rsid w:val="009A095B"/>
    <w:rsid w:val="009A3891"/>
    <w:rsid w:val="009A5C0E"/>
    <w:rsid w:val="009B2D3E"/>
    <w:rsid w:val="009B575D"/>
    <w:rsid w:val="009C0E6F"/>
    <w:rsid w:val="009C6255"/>
    <w:rsid w:val="009C6A4E"/>
    <w:rsid w:val="009D029C"/>
    <w:rsid w:val="009D0C65"/>
    <w:rsid w:val="009D216F"/>
    <w:rsid w:val="009D5EC5"/>
    <w:rsid w:val="009E07CD"/>
    <w:rsid w:val="009E2A5A"/>
    <w:rsid w:val="009E7482"/>
    <w:rsid w:val="009F1ACC"/>
    <w:rsid w:val="009F30D3"/>
    <w:rsid w:val="009F3469"/>
    <w:rsid w:val="009F4517"/>
    <w:rsid w:val="00A11D79"/>
    <w:rsid w:val="00A16B8D"/>
    <w:rsid w:val="00A20F29"/>
    <w:rsid w:val="00A23564"/>
    <w:rsid w:val="00A272FB"/>
    <w:rsid w:val="00A27E52"/>
    <w:rsid w:val="00A30012"/>
    <w:rsid w:val="00A313A1"/>
    <w:rsid w:val="00A372C7"/>
    <w:rsid w:val="00A4788D"/>
    <w:rsid w:val="00A54DE2"/>
    <w:rsid w:val="00A55ED2"/>
    <w:rsid w:val="00A66596"/>
    <w:rsid w:val="00A76B56"/>
    <w:rsid w:val="00A84CAB"/>
    <w:rsid w:val="00A851C6"/>
    <w:rsid w:val="00A85A8B"/>
    <w:rsid w:val="00A930D3"/>
    <w:rsid w:val="00A96479"/>
    <w:rsid w:val="00AB21A3"/>
    <w:rsid w:val="00AB6829"/>
    <w:rsid w:val="00AB7A1E"/>
    <w:rsid w:val="00AC033D"/>
    <w:rsid w:val="00AC07B1"/>
    <w:rsid w:val="00AC0E0B"/>
    <w:rsid w:val="00AC3066"/>
    <w:rsid w:val="00AC370A"/>
    <w:rsid w:val="00AD2597"/>
    <w:rsid w:val="00AE28CD"/>
    <w:rsid w:val="00AF21B2"/>
    <w:rsid w:val="00AF3F95"/>
    <w:rsid w:val="00AF544C"/>
    <w:rsid w:val="00B0468C"/>
    <w:rsid w:val="00B06EA9"/>
    <w:rsid w:val="00B11984"/>
    <w:rsid w:val="00B12289"/>
    <w:rsid w:val="00B1466F"/>
    <w:rsid w:val="00B15C43"/>
    <w:rsid w:val="00B17637"/>
    <w:rsid w:val="00B21412"/>
    <w:rsid w:val="00B2146A"/>
    <w:rsid w:val="00B2514B"/>
    <w:rsid w:val="00B2745C"/>
    <w:rsid w:val="00B31B62"/>
    <w:rsid w:val="00B32CC8"/>
    <w:rsid w:val="00B341AE"/>
    <w:rsid w:val="00B34636"/>
    <w:rsid w:val="00B34AC7"/>
    <w:rsid w:val="00B35974"/>
    <w:rsid w:val="00B40A25"/>
    <w:rsid w:val="00B45533"/>
    <w:rsid w:val="00B464AD"/>
    <w:rsid w:val="00B46EB1"/>
    <w:rsid w:val="00B549B2"/>
    <w:rsid w:val="00B559F6"/>
    <w:rsid w:val="00B578D9"/>
    <w:rsid w:val="00B60288"/>
    <w:rsid w:val="00B62BED"/>
    <w:rsid w:val="00B66368"/>
    <w:rsid w:val="00B66511"/>
    <w:rsid w:val="00B666AE"/>
    <w:rsid w:val="00B66BC1"/>
    <w:rsid w:val="00B822B5"/>
    <w:rsid w:val="00B84362"/>
    <w:rsid w:val="00B86814"/>
    <w:rsid w:val="00B9155A"/>
    <w:rsid w:val="00B929CF"/>
    <w:rsid w:val="00B94626"/>
    <w:rsid w:val="00B971D3"/>
    <w:rsid w:val="00B973EB"/>
    <w:rsid w:val="00B97407"/>
    <w:rsid w:val="00BA272A"/>
    <w:rsid w:val="00BA4832"/>
    <w:rsid w:val="00BA675F"/>
    <w:rsid w:val="00BB0B46"/>
    <w:rsid w:val="00BB0C4B"/>
    <w:rsid w:val="00BB42AC"/>
    <w:rsid w:val="00BB61B7"/>
    <w:rsid w:val="00BC0E15"/>
    <w:rsid w:val="00BD0E43"/>
    <w:rsid w:val="00BD7B45"/>
    <w:rsid w:val="00BE166C"/>
    <w:rsid w:val="00BE3A69"/>
    <w:rsid w:val="00BE6E4C"/>
    <w:rsid w:val="00BF1B94"/>
    <w:rsid w:val="00BF393D"/>
    <w:rsid w:val="00BF6CFE"/>
    <w:rsid w:val="00C1580D"/>
    <w:rsid w:val="00C213F6"/>
    <w:rsid w:val="00C2173B"/>
    <w:rsid w:val="00C23328"/>
    <w:rsid w:val="00C239D8"/>
    <w:rsid w:val="00C247B6"/>
    <w:rsid w:val="00C32285"/>
    <w:rsid w:val="00C41FD1"/>
    <w:rsid w:val="00C42446"/>
    <w:rsid w:val="00C43ED2"/>
    <w:rsid w:val="00C503CA"/>
    <w:rsid w:val="00C5140F"/>
    <w:rsid w:val="00C5366D"/>
    <w:rsid w:val="00C5736B"/>
    <w:rsid w:val="00C7301E"/>
    <w:rsid w:val="00C76975"/>
    <w:rsid w:val="00C7719E"/>
    <w:rsid w:val="00C80A52"/>
    <w:rsid w:val="00C85761"/>
    <w:rsid w:val="00C91536"/>
    <w:rsid w:val="00C922DF"/>
    <w:rsid w:val="00C95E76"/>
    <w:rsid w:val="00C9672F"/>
    <w:rsid w:val="00C97682"/>
    <w:rsid w:val="00CA0AD9"/>
    <w:rsid w:val="00CA0DB2"/>
    <w:rsid w:val="00CC6A88"/>
    <w:rsid w:val="00CE0268"/>
    <w:rsid w:val="00CE1331"/>
    <w:rsid w:val="00CE4EC1"/>
    <w:rsid w:val="00CF4518"/>
    <w:rsid w:val="00CF7930"/>
    <w:rsid w:val="00D12D5F"/>
    <w:rsid w:val="00D168A0"/>
    <w:rsid w:val="00D220BB"/>
    <w:rsid w:val="00D221D8"/>
    <w:rsid w:val="00D26C99"/>
    <w:rsid w:val="00D32300"/>
    <w:rsid w:val="00D32F7D"/>
    <w:rsid w:val="00D34362"/>
    <w:rsid w:val="00D36299"/>
    <w:rsid w:val="00D36774"/>
    <w:rsid w:val="00D36D7C"/>
    <w:rsid w:val="00D37570"/>
    <w:rsid w:val="00D37E64"/>
    <w:rsid w:val="00D4135C"/>
    <w:rsid w:val="00D46029"/>
    <w:rsid w:val="00D460DF"/>
    <w:rsid w:val="00D478AB"/>
    <w:rsid w:val="00D5500C"/>
    <w:rsid w:val="00D57120"/>
    <w:rsid w:val="00D6440D"/>
    <w:rsid w:val="00D6795A"/>
    <w:rsid w:val="00D7177E"/>
    <w:rsid w:val="00D7180B"/>
    <w:rsid w:val="00D7338E"/>
    <w:rsid w:val="00D76608"/>
    <w:rsid w:val="00D856B7"/>
    <w:rsid w:val="00D942B9"/>
    <w:rsid w:val="00D94531"/>
    <w:rsid w:val="00DA051E"/>
    <w:rsid w:val="00DA0A2E"/>
    <w:rsid w:val="00DA11A1"/>
    <w:rsid w:val="00DA35EF"/>
    <w:rsid w:val="00DB0C90"/>
    <w:rsid w:val="00DB17E6"/>
    <w:rsid w:val="00DB4017"/>
    <w:rsid w:val="00DC173E"/>
    <w:rsid w:val="00DC7330"/>
    <w:rsid w:val="00DC7DD9"/>
    <w:rsid w:val="00DD57CB"/>
    <w:rsid w:val="00DD59F8"/>
    <w:rsid w:val="00DD6FBB"/>
    <w:rsid w:val="00DE2C9C"/>
    <w:rsid w:val="00DE4F1C"/>
    <w:rsid w:val="00DF0D96"/>
    <w:rsid w:val="00DF2F01"/>
    <w:rsid w:val="00DF3038"/>
    <w:rsid w:val="00DF3800"/>
    <w:rsid w:val="00E021B5"/>
    <w:rsid w:val="00E05C72"/>
    <w:rsid w:val="00E076A1"/>
    <w:rsid w:val="00E115A3"/>
    <w:rsid w:val="00E119D7"/>
    <w:rsid w:val="00E11C07"/>
    <w:rsid w:val="00E1470C"/>
    <w:rsid w:val="00E153BC"/>
    <w:rsid w:val="00E154A6"/>
    <w:rsid w:val="00E21FAE"/>
    <w:rsid w:val="00E22F20"/>
    <w:rsid w:val="00E27876"/>
    <w:rsid w:val="00E37EA7"/>
    <w:rsid w:val="00E420A1"/>
    <w:rsid w:val="00E43FF7"/>
    <w:rsid w:val="00E501CA"/>
    <w:rsid w:val="00E6137B"/>
    <w:rsid w:val="00E70F10"/>
    <w:rsid w:val="00E739D1"/>
    <w:rsid w:val="00E73FB0"/>
    <w:rsid w:val="00E81459"/>
    <w:rsid w:val="00E8164F"/>
    <w:rsid w:val="00E83473"/>
    <w:rsid w:val="00E85323"/>
    <w:rsid w:val="00E85471"/>
    <w:rsid w:val="00E8649E"/>
    <w:rsid w:val="00E86FC6"/>
    <w:rsid w:val="00E95606"/>
    <w:rsid w:val="00E95898"/>
    <w:rsid w:val="00EA0752"/>
    <w:rsid w:val="00EA1686"/>
    <w:rsid w:val="00EA2D48"/>
    <w:rsid w:val="00EA4697"/>
    <w:rsid w:val="00EA5C8D"/>
    <w:rsid w:val="00EA61E1"/>
    <w:rsid w:val="00EA6BA5"/>
    <w:rsid w:val="00EA77C6"/>
    <w:rsid w:val="00EB7E1F"/>
    <w:rsid w:val="00EC13BD"/>
    <w:rsid w:val="00EC57A3"/>
    <w:rsid w:val="00EC65DA"/>
    <w:rsid w:val="00EC7817"/>
    <w:rsid w:val="00ED58B3"/>
    <w:rsid w:val="00EE21B3"/>
    <w:rsid w:val="00EE21F7"/>
    <w:rsid w:val="00EE50EE"/>
    <w:rsid w:val="00EE69F2"/>
    <w:rsid w:val="00EF04D0"/>
    <w:rsid w:val="00EF3B1D"/>
    <w:rsid w:val="00EF7BF0"/>
    <w:rsid w:val="00F02AC9"/>
    <w:rsid w:val="00F03143"/>
    <w:rsid w:val="00F035AA"/>
    <w:rsid w:val="00F10AFA"/>
    <w:rsid w:val="00F15CEE"/>
    <w:rsid w:val="00F16867"/>
    <w:rsid w:val="00F2301B"/>
    <w:rsid w:val="00F329F6"/>
    <w:rsid w:val="00F32DB8"/>
    <w:rsid w:val="00F3771B"/>
    <w:rsid w:val="00F379D4"/>
    <w:rsid w:val="00F43C61"/>
    <w:rsid w:val="00F43C9E"/>
    <w:rsid w:val="00F5165B"/>
    <w:rsid w:val="00F527C1"/>
    <w:rsid w:val="00F60DBB"/>
    <w:rsid w:val="00F70FE7"/>
    <w:rsid w:val="00F7229C"/>
    <w:rsid w:val="00F81B91"/>
    <w:rsid w:val="00F84E38"/>
    <w:rsid w:val="00F853D2"/>
    <w:rsid w:val="00F86A89"/>
    <w:rsid w:val="00F87AFC"/>
    <w:rsid w:val="00F929DF"/>
    <w:rsid w:val="00FA0611"/>
    <w:rsid w:val="00FA07D4"/>
    <w:rsid w:val="00FA21F2"/>
    <w:rsid w:val="00FB6892"/>
    <w:rsid w:val="00FC0621"/>
    <w:rsid w:val="00FC0D80"/>
    <w:rsid w:val="00FC15DF"/>
    <w:rsid w:val="00FC2761"/>
    <w:rsid w:val="00FD01FE"/>
    <w:rsid w:val="00FD0F13"/>
    <w:rsid w:val="00FD27CF"/>
    <w:rsid w:val="00FD4932"/>
    <w:rsid w:val="00FD5146"/>
    <w:rsid w:val="00FE2379"/>
    <w:rsid w:val="00FE48D1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E969"/>
  <w15:docId w15:val="{3C2EDBA0-9706-469D-9B55-085D5DA0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6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407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List Paragraph"/>
    <w:basedOn w:val="a"/>
    <w:uiPriority w:val="99"/>
    <w:qFormat/>
    <w:rsid w:val="00640730"/>
    <w:pPr>
      <w:ind w:left="720"/>
    </w:pPr>
    <w:rPr>
      <w:rFonts w:ascii="Calibri" w:eastAsia="Calibri" w:hAnsi="Calibri" w:cs="Calibri"/>
      <w:lang w:eastAsia="en-US"/>
    </w:rPr>
  </w:style>
  <w:style w:type="character" w:customStyle="1" w:styleId="FontStyle38">
    <w:name w:val="Font Style38"/>
    <w:basedOn w:val="a0"/>
    <w:uiPriority w:val="99"/>
    <w:rsid w:val="00640730"/>
    <w:rPr>
      <w:rFonts w:ascii="Verdana" w:hAnsi="Verdana" w:cs="Verdana"/>
      <w:b/>
      <w:bCs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21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6F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DD6FB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3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E438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E438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E438B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438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438B"/>
    <w:rPr>
      <w:rFonts w:eastAsiaTheme="minorEastAsia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0B042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F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905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154E30"/>
    <w:rPr>
      <w:b/>
      <w:bCs/>
    </w:rPr>
  </w:style>
  <w:style w:type="character" w:styleId="af0">
    <w:name w:val="Hyperlink"/>
    <w:basedOn w:val="a0"/>
    <w:uiPriority w:val="99"/>
    <w:unhideWhenUsed/>
    <w:rsid w:val="00EA5C8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5C8D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89225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4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hyperlink" Target="mailto:pbrertimetable@roszdravnadzo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@roszdravnadzor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@roszdravnadzo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pr@roszdravnadzor.gov.ru" TargetMode="External"/><Relationship Id="rId10" Type="http://schemas.openxmlformats.org/officeDocument/2006/relationships/hyperlink" Target="mailto:pharm@roszdravnadzor.gov.ru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harm@roszdravnadzor.gov.ru" TargetMode="External"/><Relationship Id="rId14" Type="http://schemas.openxmlformats.org/officeDocument/2006/relationships/hyperlink" Target="mailto:pbrertimetable@roszdrav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9F06-C247-4AA7-B878-7B649B3E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4048</Words>
  <Characters>23080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KORNEEVA Natalia RUSSIA</dc:creator>
  <cp:lastModifiedBy>Якобенски Наталия Федоровна</cp:lastModifiedBy>
  <cp:revision>13</cp:revision>
  <cp:lastPrinted>2025-03-20T09:59:00Z</cp:lastPrinted>
  <dcterms:created xsi:type="dcterms:W3CDTF">2025-06-20T11:05:00Z</dcterms:created>
  <dcterms:modified xsi:type="dcterms:W3CDTF">2025-07-23T14:56:00Z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2021-12-02T06:45:42Z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ActionId">
    <vt:lpwstr>e5e1f614-0eb6-4295-9b82-9bbe965848b8</vt:lpwstr>
  </property>
  <property fmtid="{D5CDD505-2E9C-101B-9397-08002B2CF9AE}" pid="8" name="MSIP_Label_7f850223-87a8-40c3-9eb2-432606efca2a_ContentBits">
    <vt:lpwstr>0</vt:lpwstr>
  </property>
</Properties>
</file>